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8: Introduction to Gosu</w:t>
      </w:r>
    </w:p>
    <w:p>
      <w:pPr>
        <w:spacing w:after="40"/>
      </w:pPr>
      <w:r>
        <w:rPr>
          <w:i/>
          <w:color w:val="999999"/>
          <w:sz w:val="16"/>
        </w:rPr>
        <w:t>Source: IS_Fund_08-Introduction to Gosu.pptx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1/29: (Untitled)</w:t>
      </w:r>
    </w:p>
    <w:p>
      <w:r>
        <w:rPr>
          <w:i/>
          <w:color w:val="888888"/>
        </w:rPr>
        <w:t>[Image placeholder]</w:t>
      </w:r>
    </w:p>
    <w:p>
      <w:pPr>
        <w:pStyle w:val="Heading3"/>
      </w:pPr>
      <w:r>
        <w:rPr>
          <w:sz w:val="24"/>
        </w:rPr>
        <w:t>Slide 2/29: (Untitled)</w:t>
      </w:r>
    </w:p>
    <w:p>
      <w:r>
        <w:rPr>
          <w:i/>
          <w:color w:val="888888"/>
        </w:rPr>
        <w:t>[Image placeholder]</w:t>
      </w:r>
    </w:p>
    <w:p>
      <w:pPr>
        <w:pStyle w:val="Heading3"/>
      </w:pPr>
      <w:r>
        <w:rPr>
          <w:sz w:val="24"/>
        </w:rPr>
        <w:t>Slide 3/29: (Untitled)</w:t>
      </w:r>
    </w:p>
    <w:p>
      <w:r>
        <w:rPr>
          <w:i/>
          <w:color w:val="888888"/>
        </w:rPr>
        <w:t>[Image placeholder]</w:t>
      </w:r>
    </w:p>
    <w:p>
      <w:pPr>
        <w:pStyle w:val="Heading3"/>
      </w:pPr>
      <w:r>
        <w:rPr>
          <w:sz w:val="24"/>
        </w:rPr>
        <w:t>Slide 4/29: (Untitled)</w:t>
      </w:r>
    </w:p>
    <w:p>
      <w:r>
        <w:rPr>
          <w:i/>
          <w:color w:val="888888"/>
        </w:rPr>
        <w:t>[Image placeholder]</w:t>
      </w:r>
    </w:p>
    <w:p>
      <w:pPr>
        <w:spacing w:before="80" w:after="80"/>
        <w:shd w:fill="E8E8E8" w:val="clear"/>
      </w:pPr>
      <w:r>
        <w:rPr>
          <w:i/>
          <w:color w:val="444444"/>
          <w:sz w:val="18"/>
        </w:rPr>
        <w:t>Speaker Notes: Guidewire Gosu</w:t>
        <w:br/>
        <w:t>Gosu is Guidewire's open-source, publicly available programming language. Gosu has elements of both procedural and object- oriented programming languages</w:t>
        <w:br/>
        <w:t>and is similar to JavaScript and Java.</w:t>
        <w:br/>
        <w:br/>
        <w:t>Guidewire developed Gosu for several reasons.</w:t>
        <w:br/>
        <w:br/>
        <w:t>First, there was a desire to have a single syntax that could be used to work with all of the elements relevant to Guidewire products (such as entities, display keys, classes, class enhancements, Java classes, permissions, and script</w:t>
        <w:br/>
        <w:t>parameters) even though these items have fundamentally distinct internal implementations. There was no existing language that provided this ability.</w:t>
        <w:br/>
        <w:br/>
        <w:t>Second, there was a desire to have code auto-complete features in Studio. This is possible only with a statically typed language. Most scripting languages, such as JavaScript, Perl, Python, and Ruby, are dynamically typed.</w:t>
        <w:br/>
        <w:br/>
        <w:t>In very early releases of InsuranceSuite, Gosu was known as Gscript.</w:t>
      </w:r>
    </w:p>
    <w:p>
      <w:pPr>
        <w:pStyle w:val="Heading3"/>
      </w:pPr>
      <w:r>
        <w:rPr>
          <w:sz w:val="24"/>
        </w:rPr>
        <w:t>Slide 5/29: (Untitled)</w:t>
      </w:r>
    </w:p>
    <w:p>
      <w:r>
        <w:rPr>
          <w:i/>
          <w:color w:val="888888"/>
        </w:rPr>
        <w:t>[Image placeholder]</w:t>
      </w:r>
    </w:p>
    <w:p>
      <w:pPr>
        <w:spacing w:before="80" w:after="80"/>
        <w:shd w:fill="E8E8E8" w:val="clear"/>
      </w:pPr>
      <w:r>
        <w:rPr>
          <w:i/>
          <w:color w:val="444444"/>
          <w:sz w:val="18"/>
        </w:rPr>
        <w:t>Speaker Notes: Gosu in Guidewire applications (I of 3)</w:t>
        <w:br/>
        <w:t>A rule is a single decision in the following form of testing a condition and then taking an action: if {some conditions) then {take some action}. A rule set combines many individual rules into a useful set to consider as a group.</w:t>
        <w:br/>
        <w:br/>
        <w:t>Gosu enhancements provide additional methods (functionality) on a Guidewire entity. For example, you can create an enhancement to the ABContact entity. Within enhancement, you add methods that support new functionality. Guidewire Studio will show the new method for an entity of the type ABContact.</w:t>
        <w:br/>
        <w:br/>
        <w:t>Note: Enhancements are not limited to entities. Technically any Gosu or Java class can be enhanced.</w:t>
      </w:r>
    </w:p>
    <w:p>
      <w:pPr>
        <w:pStyle w:val="Heading3"/>
      </w:pPr>
      <w:r>
        <w:rPr>
          <w:sz w:val="24"/>
        </w:rPr>
        <w:t>Slide 6/29: (Untitled)</w:t>
      </w:r>
    </w:p>
    <w:p>
      <w:r>
        <w:rPr>
          <w:i/>
          <w:color w:val="888888"/>
        </w:rPr>
        <w:t>[Image placeholder]</w:t>
      </w:r>
    </w:p>
    <w:p>
      <w:pPr>
        <w:spacing w:before="80" w:after="80"/>
        <w:shd w:fill="E8E8E8" w:val="clear"/>
      </w:pPr>
      <w:r>
        <w:rPr>
          <w:i/>
          <w:color w:val="444444"/>
          <w:sz w:val="18"/>
        </w:rPr>
        <w:t>Speaker Notes: Gosu in Guidewire applications (2 of 3)</w:t>
        <w:br/>
        <w:t>Shown here is a comparison between the use of Entity Names and Gosu Classes.</w:t>
      </w:r>
    </w:p>
    <w:p>
      <w:pPr>
        <w:pStyle w:val="Heading3"/>
      </w:pPr>
      <w:r>
        <w:rPr>
          <w:sz w:val="24"/>
        </w:rPr>
        <w:t>Slide 7/29: (Untitled)</w:t>
      </w:r>
    </w:p>
    <w:p>
      <w:r>
        <w:rPr>
          <w:i/>
          <w:color w:val="888888"/>
        </w:rPr>
        <w:t>[Image placeholder]</w:t>
      </w:r>
    </w:p>
    <w:p>
      <w:pPr>
        <w:spacing w:before="80" w:after="80"/>
        <w:shd w:fill="E8E8E8" w:val="clear"/>
      </w:pPr>
      <w:r>
        <w:rPr>
          <w:i/>
          <w:color w:val="444444"/>
          <w:sz w:val="18"/>
        </w:rPr>
        <w:t>Speaker Notes: Gosu in Guidewire applications (3 of 3)</w:t>
        <w:br/>
        <w:t>A workflow executes processes whose execution is time-based or is triggered by events in external applications or is both triggered and time-based.</w:t>
        <w:br/>
        <w:br/>
        <w:t>Workflows are available in all three primary Guidewire applications. Policy Center uses workflows to manage policy transactions (such as renewals). Billing Center uses workflows to manage account delinquency and agency bill cycles. Although the feature is available in Claim Center, the base configuration of Claim Center does not use workflows.</w:t>
      </w:r>
    </w:p>
    <w:p>
      <w:pPr>
        <w:pStyle w:val="Heading3"/>
      </w:pPr>
      <w:r>
        <w:rPr>
          <w:sz w:val="24"/>
        </w:rPr>
        <w:t>Slide 8/29: (Untitled)</w:t>
      </w:r>
    </w:p>
    <w:p>
      <w:r>
        <w:rPr>
          <w:i/>
          <w:color w:val="888888"/>
        </w:rPr>
        <w:t>[Image placeholder]</w:t>
      </w:r>
    </w:p>
    <w:p>
      <w:pPr>
        <w:spacing w:before="80" w:after="80"/>
        <w:shd w:fill="E8E8E8" w:val="clear"/>
      </w:pPr>
      <w:r>
        <w:rPr>
          <w:i/>
          <w:color w:val="444444"/>
          <w:sz w:val="18"/>
        </w:rPr>
        <w:t>Speaker Notes: Gosu Scratchpad</w:t>
        <w:br/>
        <w:t>Gosu Scratchpad can be used to write, execute and debug Gosu code snippets.</w:t>
        <w:br/>
        <w:t>To open up the Gosu scratchpad, select Tools and then Gosu Scratchpad</w:t>
        <w:br/>
        <w:t>In the example above, we run a simple Gosu query to load data from the application database. We can also execute transactions to commit test data.</w:t>
        <w:br/>
        <w:br/>
        <w:t>The Gosu scratch pad supports common editor features</w:t>
        <w:br/>
        <w:t>Gutter Area</w:t>
        <w:br/>
        <w:t>Smart Completion</w:t>
        <w:br/>
        <w:t>Validation bar and</w:t>
        <w:br/>
        <w:t>Debugging</w:t>
        <w:br/>
        <w:t>The Run in Debug Server process button (3) uses the Platform compiler while the Run (1) and Debug (2) buttons use the community (open source) compiler. There are a few minor differences between the two versions of Gosu, but those are out of scope for this course. mIt is recommended to use the Run in Debug Process button (3) and use Platform compiler since all the applications are written using the Platform compiler. The server must be running in  debug mode (4) before you can run Gosu code using the debug server process button (3).</w:t>
      </w:r>
    </w:p>
    <w:p>
      <w:pPr>
        <w:pStyle w:val="Heading3"/>
      </w:pPr>
      <w:r>
        <w:rPr>
          <w:sz w:val="24"/>
        </w:rPr>
        <w:t>Slide 9/29: (Untitled)</w:t>
      </w:r>
    </w:p>
    <w:p>
      <w:r>
        <w:rPr>
          <w:i/>
          <w:color w:val="888888"/>
        </w:rPr>
        <w:t>[Image placeholder]</w:t>
      </w:r>
    </w:p>
    <w:p>
      <w:pPr>
        <w:spacing w:before="80" w:after="80"/>
        <w:shd w:fill="E8E8E8" w:val="clear"/>
      </w:pPr>
      <w:r>
        <w:rPr>
          <w:i/>
          <w:color w:val="444444"/>
          <w:sz w:val="18"/>
        </w:rPr>
        <w:t>Speaker Notes: Arrays</w:t>
        <w:br/>
        <w:t>Configuration of Guidewire applications often focuses on working with data model entity arrays. An array defines a set of additional entities of the same type to associate with the main entity.</w:t>
        <w:br/>
        <w:br/>
        <w:t>A related data model array is the associative array. An associative array provides a mapping between a set of keys and the values that the keys represent. A common example of this type of mapping is a telephone book, in which a name maps to a telephone number. Another common example is a dictionary, which maps terms to their definitions.</w:t>
        <w:br/>
        <w:br/>
        <w:t>An array is a collection of data values, with each element of the array associated with a number or index.</w:t>
        <w:br/>
        <w:br/>
        <w:t>In typical Gosu code, simply use angle brackets after the type name, such as String[] to represent an array of String objects. Use a zero-based index number to access an array member. If you create an array, you must explicitly define the size of the array or implicitly define the size by simultaneously defining the array elements. To access the elements of an array, you use an index expression.</w:t>
      </w:r>
    </w:p>
    <w:p>
      <w:pPr>
        <w:pStyle w:val="Heading3"/>
      </w:pPr>
      <w:r>
        <w:rPr>
          <w:sz w:val="24"/>
        </w:rPr>
        <w:t>Slide 10/29: (Untitled)</w:t>
      </w:r>
    </w:p>
    <w:p>
      <w:r>
        <w:rPr>
          <w:i/>
          <w:color w:val="888888"/>
        </w:rPr>
        <w:t>[Image placeholder]</w:t>
      </w:r>
    </w:p>
    <w:p>
      <w:pPr>
        <w:spacing w:before="80" w:after="80"/>
        <w:shd w:fill="E8E8E8" w:val="clear"/>
      </w:pPr>
      <w:r>
        <w:rPr>
          <w:i/>
          <w:color w:val="444444"/>
          <w:sz w:val="18"/>
        </w:rPr>
        <w:t>Speaker Notes: Array methods that require logic</w:t>
        <w:br/>
        <w:t>A variety of array methods are available in Gosu, including methods that get information about the array or that get members of the array that match a given condition.</w:t>
        <w:br/>
        <w:t>For methods that require an argument, the argument must be an expression of a condition, such as returning true if any row in the array matches the condition, returning the first row matching the condition, or returning all rows that match the conditiom Arguments must be in the form of a Gosu block expression.</w:t>
      </w:r>
    </w:p>
    <w:p>
      <w:pPr>
        <w:pStyle w:val="Heading3"/>
      </w:pPr>
      <w:r>
        <w:rPr>
          <w:sz w:val="24"/>
        </w:rPr>
        <w:t>Slide 11/29: (Untitled)</w:t>
      </w:r>
    </w:p>
    <w:p>
      <w:r>
        <w:rPr>
          <w:i/>
          <w:color w:val="888888"/>
        </w:rPr>
        <w:t>[Image placeholder]</w:t>
      </w:r>
    </w:p>
    <w:p>
      <w:pPr>
        <w:spacing w:before="80" w:after="80"/>
        <w:shd w:fill="E8E8E8" w:val="clear"/>
      </w:pPr>
      <w:r>
        <w:rPr>
          <w:i/>
          <w:color w:val="444444"/>
          <w:sz w:val="18"/>
        </w:rPr>
        <w:t>Speaker Notes: Common array methods (I of 2)</w:t>
        <w:br/>
        <w:t>Common array methods include hasMatch(condition), which determines if any element in an array matches the condition provided, and countWhere(condition), which returns a count of elements in an array that match the condition</w:t>
      </w:r>
    </w:p>
    <w:p>
      <w:pPr>
        <w:pStyle w:val="Heading3"/>
      </w:pPr>
      <w:r>
        <w:rPr>
          <w:sz w:val="24"/>
        </w:rPr>
        <w:t>Slide 12/29: (Untitled)</w:t>
      </w:r>
    </w:p>
    <w:p>
      <w:r>
        <w:rPr>
          <w:i/>
          <w:color w:val="888888"/>
        </w:rPr>
        <w:t>[Image placeholder]</w:t>
      </w:r>
    </w:p>
    <w:p>
      <w:pPr>
        <w:spacing w:before="80" w:after="80"/>
        <w:shd w:fill="E8E8E8" w:val="clear"/>
      </w:pPr>
      <w:r>
        <w:rPr>
          <w:i/>
          <w:color w:val="444444"/>
          <w:sz w:val="18"/>
        </w:rPr>
        <w:t>Speaker Notes: Common array methods (2 of 2)</w:t>
        <w:br/>
        <w:t>Additional array methods include  firstWhere(condition), which retrieves the first element of an array matching the condition, and where(condition), which creates a target array consisting of the members of the source array that match the condition. For a more detailed description and information on other methods, see the product documentation.</w:t>
      </w:r>
    </w:p>
    <w:p>
      <w:pPr>
        <w:pStyle w:val="Heading3"/>
      </w:pPr>
      <w:r>
        <w:rPr>
          <w:sz w:val="24"/>
        </w:rPr>
        <w:t>Slide 13/29: (Untitled)</w:t>
      </w:r>
    </w:p>
    <w:p>
      <w:r>
        <w:rPr>
          <w:i/>
          <w:color w:val="888888"/>
        </w:rPr>
        <w:t>[Image placeholder]</w:t>
      </w:r>
    </w:p>
    <w:p>
      <w:pPr>
        <w:spacing w:before="80" w:after="80"/>
        <w:shd w:fill="E8E8E8" w:val="clear"/>
      </w:pPr>
      <w:r>
        <w:rPr>
          <w:i/>
          <w:color w:val="444444"/>
          <w:sz w:val="18"/>
        </w:rPr>
        <w:t>Speaker Notes: Blocks argument expression</w:t>
        <w:br/>
        <w:t>Blocks are used in many situations where a method requires an expression as an input parameter, such as in arrays, queries, and transaction bundles for database transactions.</w:t>
        <w:br/>
        <w:t>A block is an expression of logic passed to a method as anargument. Some array methods require conditions using a block. The block consists of four parts:</w:t>
        <w:br/>
        <w:t>1. \ , which identifies that the following is a block</w:t>
        <w:br/>
        <w:t>2. An element namerepresenting each element of the array</w:t>
        <w:br/>
        <w:t>3. -&gt;, which identifies the start of the condition</w:t>
        <w:br/>
        <w:t>4. A condition, which relates to the element</w:t>
      </w:r>
    </w:p>
    <w:p>
      <w:pPr>
        <w:pStyle w:val="Heading3"/>
      </w:pPr>
      <w:r>
        <w:rPr>
          <w:sz w:val="24"/>
        </w:rPr>
        <w:t>Slide 14/29: (Untitled)</w:t>
      </w:r>
    </w:p>
    <w:p>
      <w:r>
        <w:rPr>
          <w:i/>
          <w:color w:val="888888"/>
        </w:rPr>
        <w:t>[Image placeholder]</w:t>
      </w:r>
    </w:p>
    <w:p>
      <w:pPr>
        <w:pStyle w:val="Heading3"/>
      </w:pPr>
      <w:r>
        <w:rPr>
          <w:sz w:val="24"/>
        </w:rPr>
        <w:t>Slide 15/29: (Untitled)</w:t>
      </w:r>
    </w:p>
    <w:p>
      <w:r>
        <w:rPr>
          <w:i/>
          <w:color w:val="888888"/>
        </w:rPr>
        <w:t>[Image placeholder]</w:t>
      </w:r>
    </w:p>
    <w:p>
      <w:pPr>
        <w:spacing w:before="80" w:after="80"/>
        <w:shd w:fill="E8E8E8" w:val="clear"/>
      </w:pPr>
      <w:r>
        <w:rPr>
          <w:i/>
          <w:color w:val="444444"/>
          <w:sz w:val="18"/>
        </w:rPr>
        <w:t>Speaker Notes: About rational numbers</w:t>
        <w:br/>
        <w:t>Arithmetic operators can be applied to rational numbers using the syntax highlighted on the slide.</w:t>
        <w:br/>
        <w:t>Where i can be an integer, float, long or double.</w:t>
        <w:br/>
        <w:br/>
        <w:t>Additional mathematical operations can be performed on rationals in Gosu.</w:t>
      </w:r>
    </w:p>
    <w:p>
      <w:pPr>
        <w:pStyle w:val="Heading3"/>
      </w:pPr>
      <w:r>
        <w:rPr>
          <w:sz w:val="24"/>
        </w:rPr>
        <w:t>Slide 16/29: (Untitled)</w:t>
      </w:r>
    </w:p>
    <w:p>
      <w:r>
        <w:rPr>
          <w:i/>
          <w:color w:val="888888"/>
        </w:rPr>
        <w:t>[Image placeholder]</w:t>
      </w:r>
    </w:p>
    <w:p>
      <w:pPr>
        <w:spacing w:before="80" w:after="80"/>
        <w:shd w:fill="E8E8E8" w:val="clear"/>
      </w:pPr>
      <w:r>
        <w:rPr>
          <w:i/>
          <w:color w:val="444444"/>
          <w:sz w:val="18"/>
        </w:rPr>
        <w:t>Speaker Notes: Rational.class in Gosu</w:t>
        <w:br/>
        <w:t>A number of other mathematical operations can be performed on rational numbers in Gosu. For more details on how to use different operators, see the Rational class and the public methods available in it. In studio, press Ctrl+Shift+N and search for Rational. class.</w:t>
        <w:br/>
        <w:br/>
        <w:t>We'll look at some examples on the next slide.</w:t>
      </w:r>
    </w:p>
    <w:p>
      <w:pPr>
        <w:pStyle w:val="Heading3"/>
      </w:pPr>
      <w:r>
        <w:rPr>
          <w:sz w:val="24"/>
        </w:rPr>
        <w:t>Slide 17/29: (Untitled)</w:t>
      </w:r>
    </w:p>
    <w:p>
      <w:r>
        <w:rPr>
          <w:i/>
          <w:color w:val="888888"/>
        </w:rPr>
        <w:t>[Image placeholder]</w:t>
      </w:r>
    </w:p>
    <w:p>
      <w:pPr>
        <w:spacing w:before="80" w:after="80"/>
        <w:shd w:fill="E8E8E8" w:val="clear"/>
      </w:pPr>
      <w:r>
        <w:rPr>
          <w:i/>
          <w:color w:val="444444"/>
          <w:sz w:val="18"/>
        </w:rPr>
        <w:t>Speaker Notes: Using rational numbers</w:t>
        <w:br/>
        <w:t>Like other number types, rationals are sequenceable:</w:t>
        <w:br/>
        <w:br/>
        <w:t>//pnnts4/3, 7/3, 10/3</w:t>
        <w:br/>
        <w:t>var oneThird = Rational.get(l ,3)</w:t>
        <w:br/>
        <w:t>for (n in 1--3)</w:t>
        <w:br/>
        <w:t>{</w:t>
        <w:br/>
        <w:t>var sum = oneThird.add(n)</w:t>
        <w:br/>
        <w:t>print(sum)</w:t>
        <w:br/>
        <w:t>}</w:t>
      </w:r>
    </w:p>
    <w:p>
      <w:pPr>
        <w:pStyle w:val="Heading3"/>
      </w:pPr>
      <w:r>
        <w:rPr>
          <w:sz w:val="24"/>
        </w:rPr>
        <w:t>Slide 18/29: (Untitled)</w:t>
      </w:r>
    </w:p>
    <w:p>
      <w:r>
        <w:rPr>
          <w:i/>
          <w:color w:val="888888"/>
        </w:rPr>
        <w:t>[Image placeholder]</w:t>
      </w:r>
    </w:p>
    <w:p>
      <w:pPr>
        <w:pStyle w:val="Heading3"/>
      </w:pPr>
      <w:r>
        <w:rPr>
          <w:sz w:val="24"/>
        </w:rPr>
        <w:t>Slide 19/29: (Untitled)</w:t>
      </w:r>
    </w:p>
    <w:p>
      <w:r>
        <w:rPr>
          <w:i/>
          <w:color w:val="888888"/>
        </w:rPr>
        <w:t>[Image placeholder]</w:t>
      </w:r>
    </w:p>
    <w:p>
      <w:pPr>
        <w:pStyle w:val="Heading3"/>
      </w:pPr>
      <w:r>
        <w:rPr>
          <w:sz w:val="24"/>
        </w:rPr>
        <w:t>Slide 20/29: (Untitled)</w:t>
      </w:r>
    </w:p>
    <w:p>
      <w:pPr>
        <w:pStyle w:val="Heading3"/>
      </w:pPr>
      <w:r>
        <w:rPr>
          <w:sz w:val="24"/>
        </w:rPr>
        <w:t>Slide 21/29: (Untitled)</w:t>
      </w:r>
    </w:p>
    <w:p>
      <w:r>
        <w:rPr>
          <w:i/>
          <w:color w:val="888888"/>
        </w:rPr>
        <w:t>[Image placeholder]</w:t>
      </w:r>
    </w:p>
    <w:p>
      <w:pPr>
        <w:pStyle w:val="Heading3"/>
      </w:pPr>
      <w:r>
        <w:rPr>
          <w:sz w:val="24"/>
        </w:rPr>
        <w:t>Slide 22/29: (Untitled)</w:t>
      </w:r>
    </w:p>
    <w:p>
      <w:r>
        <w:rPr>
          <w:i/>
          <w:color w:val="888888"/>
        </w:rPr>
        <w:t>[Image placeholder]</w:t>
      </w:r>
    </w:p>
    <w:p>
      <w:pPr>
        <w:pStyle w:val="Heading3"/>
      </w:pPr>
      <w:r>
        <w:rPr>
          <w:sz w:val="24"/>
        </w:rPr>
        <w:t>Slide 23/29: (Untitled)</w:t>
      </w:r>
    </w:p>
    <w:p>
      <w:r>
        <w:rPr>
          <w:i/>
          <w:color w:val="888888"/>
        </w:rPr>
        <w:t>[Image placeholder]</w:t>
      </w:r>
    </w:p>
    <w:p>
      <w:pPr>
        <w:pStyle w:val="Heading3"/>
      </w:pPr>
      <w:r>
        <w:rPr>
          <w:sz w:val="24"/>
        </w:rPr>
        <w:t>Slide 24/29: (Untitled)</w:t>
      </w:r>
    </w:p>
    <w:p>
      <w:r>
        <w:rPr>
          <w:i/>
          <w:color w:val="888888"/>
        </w:rPr>
        <w:t>[Image placeholder]</w:t>
      </w:r>
    </w:p>
    <w:p>
      <w:pPr>
        <w:pStyle w:val="Heading3"/>
      </w:pPr>
      <w:r>
        <w:rPr>
          <w:sz w:val="24"/>
        </w:rPr>
        <w:t>Slide 25/29: (Untitled)</w:t>
      </w:r>
    </w:p>
    <w:p>
      <w:r>
        <w:rPr>
          <w:i/>
          <w:color w:val="888888"/>
        </w:rPr>
        <w:t>[Image placeholder]</w:t>
      </w:r>
    </w:p>
    <w:p>
      <w:pPr>
        <w:pStyle w:val="Heading3"/>
      </w:pPr>
      <w:r>
        <w:rPr>
          <w:sz w:val="24"/>
        </w:rPr>
        <w:t>Slide 26/29: (Untitled)</w:t>
      </w:r>
    </w:p>
    <w:p>
      <w:r>
        <w:rPr>
          <w:i/>
          <w:color w:val="888888"/>
        </w:rPr>
        <w:t>[Image placeholder]</w:t>
      </w:r>
    </w:p>
    <w:p>
      <w:pPr>
        <w:pStyle w:val="Heading3"/>
      </w:pPr>
      <w:r>
        <w:rPr>
          <w:sz w:val="24"/>
        </w:rPr>
        <w:t>Slide 27/29: (Untitled)</w:t>
      </w:r>
    </w:p>
    <w:p>
      <w:r>
        <w:rPr>
          <w:i/>
          <w:color w:val="888888"/>
        </w:rPr>
        <w:t>[Image placeholder]</w:t>
      </w:r>
    </w:p>
    <w:p>
      <w:pPr>
        <w:pStyle w:val="Heading3"/>
      </w:pPr>
      <w:r>
        <w:rPr>
          <w:sz w:val="24"/>
        </w:rPr>
        <w:t>Slide 28/29: (Untitled)</w:t>
      </w:r>
    </w:p>
    <w:p>
      <w:r>
        <w:rPr>
          <w:i/>
          <w:color w:val="888888"/>
        </w:rPr>
        <w:t>[Image placeholder]</w:t>
      </w:r>
    </w:p>
    <w:p>
      <w:pPr>
        <w:pStyle w:val="Heading3"/>
      </w:pPr>
      <w:r>
        <w:rPr>
          <w:sz w:val="24"/>
        </w:rPr>
        <w:t>Slide 29/29: (Untitled)</w:t>
      </w:r>
    </w:p>
    <w:p>
      <w:r>
        <w:rPr>
          <w:i/>
          <w:color w:val="888888"/>
        </w:rPr>
        <w:t>[Image placeholder]</w:t>
      </w:r>
    </w:p>
    <w:p>
      <w:pPr>
        <w:pStyle w:val="Heading2"/>
      </w:pPr>
      <w:r>
        <w:t>Assignment</w:t>
      </w:r>
    </w:p>
    <w:p>
      <w:r>
        <w:rPr>
          <w:b/>
          <w:color w:val="008800"/>
        </w:rPr>
        <w:t>[Assignment 08]: Introduction to Gosu</w:t>
      </w:r>
    </w:p>
    <w:p>
      <w:r>
        <w:rPr>
          <w:i/>
          <w:sz w:val="18"/>
        </w:rPr>
        <w:t>File: 08 - Introduction to Gosu.pdf</w:t>
      </w:r>
    </w:p>
    <w:p/>
    <w:p>
      <w:pPr>
        <w:spacing w:before="240"/>
        <w:jc w:val="center"/>
      </w:pPr>
      <w:r>
        <w:rPr>
          <w:i/>
          <w:color w:val="999999"/>
          <w:sz w:val="16"/>
        </w:rPr>
        <w:t>--- End of Lesson 8: Introduction to Gosu | 29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