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11: IS_ Fund-11- Introduction to Code Generation and Debugging</w:t>
      </w:r>
    </w:p>
    <w:p>
      <w:pPr>
        <w:spacing w:after="40"/>
      </w:pPr>
      <w:r>
        <w:rPr>
          <w:i/>
          <w:color w:val="999999"/>
          <w:sz w:val="16"/>
        </w:rPr>
        <w:t>Source: IS_ Fund-11- Introduction to Code Generation and Debugging.pptx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1/29: (Untitled)</w:t>
      </w:r>
    </w:p>
    <w:p>
      <w:r>
        <w:rPr>
          <w:i/>
          <w:color w:val="888888"/>
        </w:rPr>
        <w:t>[Image placeholder]</w:t>
      </w:r>
    </w:p>
    <w:p>
      <w:pPr>
        <w:pStyle w:val="Heading3"/>
      </w:pPr>
      <w:r>
        <w:rPr>
          <w:sz w:val="24"/>
        </w:rPr>
        <w:t>Slide 2/29: (Untitled)</w:t>
      </w:r>
    </w:p>
    <w:p>
      <w:r>
        <w:rPr>
          <w:i/>
          <w:color w:val="888888"/>
        </w:rPr>
        <w:t>[Image placeholder]</w:t>
      </w:r>
    </w:p>
    <w:p>
      <w:pPr>
        <w:pStyle w:val="Heading3"/>
      </w:pPr>
      <w:r>
        <w:rPr>
          <w:sz w:val="24"/>
        </w:rPr>
        <w:t>Slide 3/29: (Untitled)</w:t>
      </w:r>
    </w:p>
    <w:p>
      <w:r>
        <w:rPr>
          <w:i/>
          <w:color w:val="888888"/>
        </w:rPr>
        <w:t>[Image placeholder]</w:t>
      </w:r>
    </w:p>
    <w:p>
      <w:pPr>
        <w:pStyle w:val="Heading3"/>
      </w:pPr>
      <w:r>
        <w:rPr>
          <w:sz w:val="24"/>
        </w:rPr>
        <w:t>Slide 4/29: (Untitled)</w:t>
      </w:r>
    </w:p>
    <w:p>
      <w:r>
        <w:rPr>
          <w:i/>
          <w:color w:val="888888"/>
        </w:rPr>
        <w:t>[Image placeholder]</w:t>
      </w:r>
    </w:p>
    <w:p>
      <w:pPr>
        <w:pStyle w:val="Heading3"/>
      </w:pPr>
      <w:r>
        <w:rPr>
          <w:sz w:val="24"/>
        </w:rPr>
        <w:t>Slide 5/29: (Untitled)</w:t>
      </w:r>
    </w:p>
    <w:p>
      <w:r>
        <w:rPr>
          <w:i/>
          <w:color w:val="888888"/>
        </w:rPr>
        <w:t>[Image placeholder]</w:t>
      </w:r>
    </w:p>
    <w:p>
      <w:pPr>
        <w:spacing w:before="80" w:after="80"/>
        <w:shd w:fill="E8E8E8" w:val="clear"/>
      </w:pPr>
      <w:r>
        <w:rPr>
          <w:i/>
          <w:color w:val="444444"/>
          <w:sz w:val="18"/>
        </w:rPr>
        <w:t>Speaker Notes: Code generation (2 of 2)</w:t>
        <w:br/>
        <w:t>Note: You can learn more about .eti, -etx, and .java files in the product documentation.</w:t>
      </w:r>
    </w:p>
    <w:p>
      <w:pPr>
        <w:pStyle w:val="Heading3"/>
      </w:pPr>
      <w:r>
        <w:rPr>
          <w:sz w:val="24"/>
        </w:rPr>
        <w:t>Slide 6/29: (Untitled)</w:t>
      </w:r>
    </w:p>
    <w:p>
      <w:r>
        <w:rPr>
          <w:i/>
          <w:color w:val="888888"/>
        </w:rPr>
        <w:t>[Image placeholder]</w:t>
      </w:r>
    </w:p>
    <w:p>
      <w:pPr>
        <w:spacing w:before="80" w:after="80"/>
        <w:shd w:fill="E8E8E8" w:val="clear"/>
      </w:pPr>
      <w:r>
        <w:rPr>
          <w:i/>
          <w:color w:val="444444"/>
          <w:sz w:val="18"/>
        </w:rPr>
        <w:t>Speaker Notes: Incremental vs Bulk code generators</w:t>
        <w:br/>
        <w:t>Note: For properties that represent arrays of entities in the Guidewire data model, there arespecial rules that govern the behavior of XML output For details of the Incremental option, see "Generating XML Using an XML Model" in the product documentation.</w:t>
      </w:r>
    </w:p>
    <w:p>
      <w:pPr>
        <w:pStyle w:val="Heading3"/>
      </w:pPr>
      <w:r>
        <w:rPr>
          <w:sz w:val="24"/>
        </w:rPr>
        <w:t>Slide 7/29: (Untitled)</w:t>
      </w:r>
    </w:p>
    <w:p>
      <w:r>
        <w:rPr>
          <w:i/>
          <w:color w:val="888888"/>
        </w:rPr>
        <w:t>[Image placeholder]</w:t>
      </w:r>
    </w:p>
    <w:p>
      <w:pPr>
        <w:spacing w:before="80" w:after="80"/>
        <w:shd w:fill="E8E8E8" w:val="clear"/>
      </w:pPr>
      <w:r>
        <w:rPr>
          <w:i/>
          <w:color w:val="444444"/>
          <w:sz w:val="18"/>
        </w:rPr>
        <w:t>Speaker Notes: Output of code generation</w:t>
        <w:br/>
        <w:t>All generated resources are in the configuration\generated folder. The code generation of a PCF file results in the following: The .gs file is a Gosu class that represents the PCF type The .pcfc is a binary file that describes the PCF file for the new PCF runtime The Experssion.gs is a Gosu class that contains all container and widget expressions The code generation of an entity results in the following: A .java class representing the entity</w:t>
      </w:r>
    </w:p>
    <w:p>
      <w:pPr>
        <w:pStyle w:val="Heading3"/>
      </w:pPr>
      <w:r>
        <w:rPr>
          <w:sz w:val="24"/>
        </w:rPr>
        <w:t>Slide 8/29: (Untitled)</w:t>
      </w:r>
    </w:p>
    <w:p>
      <w:r>
        <w:rPr>
          <w:i/>
          <w:color w:val="888888"/>
        </w:rPr>
        <w:t>[Image placeholder]</w:t>
      </w:r>
    </w:p>
    <w:p>
      <w:pPr>
        <w:pStyle w:val="Heading3"/>
      </w:pPr>
      <w:r>
        <w:rPr>
          <w:sz w:val="24"/>
        </w:rPr>
        <w:t>Slide 9/29: (Untitled)</w:t>
      </w:r>
    </w:p>
    <w:p>
      <w:r>
        <w:rPr>
          <w:i/>
          <w:color w:val="888888"/>
        </w:rPr>
        <w:t>[Image placeholder]</w:t>
      </w:r>
    </w:p>
    <w:p>
      <w:pPr>
        <w:spacing w:before="80" w:after="80"/>
        <w:shd w:fill="E8E8E8" w:val="clear"/>
      </w:pPr>
      <w:r>
        <w:rPr>
          <w:i/>
          <w:color w:val="444444"/>
          <w:sz w:val="18"/>
        </w:rPr>
        <w:t>Speaker Notes: Brea kpoints</w:t>
        <w:br/>
        <w:t>You can set a breakpoint by clicking in the gutter for the given line in the editor. To hit breakpoints, you must run the application in a debug 'server’ process. When the Debug 'Server' process hits a breakpoint in Gosu code, the debugger suspends the normal execution of code until you resume it. When you resume the debugger, code executes as normal until the debugger hits another breakpoint. Because you can step through lines, you normally need only one breakpoint for each section of code you want to investigate.</w:t>
      </w:r>
    </w:p>
    <w:p>
      <w:pPr>
        <w:pStyle w:val="Heading3"/>
      </w:pPr>
      <w:r>
        <w:rPr>
          <w:sz w:val="24"/>
        </w:rPr>
        <w:t>Slide 10/29: (Untitled)</w:t>
      </w:r>
    </w:p>
    <w:p>
      <w:r>
        <w:rPr>
          <w:i/>
          <w:color w:val="888888"/>
        </w:rPr>
        <w:t>[Image placeholder]</w:t>
      </w:r>
    </w:p>
    <w:p>
      <w:pPr>
        <w:spacing w:before="80" w:after="80"/>
        <w:shd w:fill="E8E8E8" w:val="clear"/>
      </w:pPr>
      <w:r>
        <w:rPr>
          <w:i/>
          <w:color w:val="444444"/>
          <w:sz w:val="18"/>
        </w:rPr>
        <w:t>Speaker Notes: Main debugging tools</w:t>
        <w:br/>
        <w:t>Debug toolbar has buttons to perform the following actions:</w:t>
        <w:br/>
        <w:br/>
        <w:t>Restart the Debug Process</w:t>
        <w:br/>
        <w:br/>
        <w:t>Resume execution</w:t>
        <w:br/>
        <w:br/>
        <w:t>Stop the Debug Process</w:t>
        <w:br/>
        <w:br/>
        <w:t>View breakpoints</w:t>
        <w:br/>
        <w:br/>
        <w:t>Mute breakpoints</w:t>
        <w:br/>
        <w:br/>
        <w:t>Stepping toolbar has buttons to perform the following actions:</w:t>
        <w:br/>
        <w:br/>
        <w:t>Step over</w:t>
        <w:br/>
        <w:br/>
        <w:t>Step into</w:t>
        <w:br/>
        <w:br/>
        <w:t>Step out</w:t>
        <w:br/>
        <w:br/>
        <w:t>The Frames pane enables you to gain access to the list of threads of your application, export to a text file and customize thread presentation- For each thread, you can view the stack frame, examine frames, navigate between frames, and automatically jump to a frame's source code in the editor. You can select a thread via the thread selector drop-down list on top of the pane. The status and type of a thread is indicated by a special icon and a textual note next to the thread’s name-</w:t>
        <w:br/>
        <w:br/>
        <w:t>The Variables pane enables you to examine the values stored in the objects of your application. When a stack frame is selected in the Frames pane, the Variables pane displays all data within its scope (method parameters, local and instance variables). In this pane, you can set labels for objects, inspect objects evaluate expressions, add variables to watches and more-</w:t>
        <w:br/>
        <w:br/>
        <w:t>In the Watches pane you can evaluate any number of variables or expressions in the context of the current stack frame. The values are updated with each step through the application and  become visible every time the application is suspended- Watch expressions are always evaluated in the context of a stack frame that is currently inspected in the Frames pane. If an expression cannot be evaluated, it is displayed with a question mark.</w:t>
      </w:r>
    </w:p>
    <w:p>
      <w:pPr>
        <w:pStyle w:val="Heading3"/>
      </w:pPr>
      <w:r>
        <w:rPr>
          <w:sz w:val="24"/>
        </w:rPr>
        <w:t>Slide 11/29: (Untitled)</w:t>
      </w:r>
    </w:p>
    <w:p>
      <w:r>
        <w:rPr>
          <w:i/>
          <w:color w:val="888888"/>
        </w:rPr>
        <w:t>[Image placeholder]</w:t>
      </w:r>
    </w:p>
    <w:p>
      <w:pPr>
        <w:pStyle w:val="Heading3"/>
      </w:pPr>
      <w:r>
        <w:rPr>
          <w:sz w:val="24"/>
        </w:rPr>
        <w:t>Slide 12/29: (Untitled)</w:t>
      </w:r>
    </w:p>
    <w:p>
      <w:r>
        <w:rPr>
          <w:i/>
          <w:color w:val="888888"/>
        </w:rPr>
        <w:t>[Image placeholder]</w:t>
      </w:r>
    </w:p>
    <w:p>
      <w:pPr>
        <w:pStyle w:val="Heading3"/>
      </w:pPr>
      <w:r>
        <w:rPr>
          <w:sz w:val="24"/>
        </w:rPr>
        <w:t>Slide 13/29: (Untitled)</w:t>
      </w:r>
    </w:p>
    <w:p>
      <w:r>
        <w:rPr>
          <w:i/>
          <w:color w:val="888888"/>
        </w:rPr>
        <w:t>[Image placeholder]</w:t>
      </w:r>
    </w:p>
    <w:p>
      <w:pPr>
        <w:pStyle w:val="Heading3"/>
      </w:pPr>
      <w:r>
        <w:rPr>
          <w:sz w:val="24"/>
        </w:rPr>
        <w:t>Slide 14/29: (Untitled)</w:t>
      </w:r>
    </w:p>
    <w:p>
      <w:r>
        <w:rPr>
          <w:i/>
          <w:color w:val="888888"/>
        </w:rPr>
        <w:t>[Image placeholder]</w:t>
      </w:r>
    </w:p>
    <w:p>
      <w:pPr>
        <w:pStyle w:val="Heading3"/>
      </w:pPr>
      <w:r>
        <w:rPr>
          <w:sz w:val="24"/>
        </w:rPr>
        <w:t>Slide 15/29: (Untitled)</w:t>
      </w:r>
    </w:p>
    <w:p>
      <w:r>
        <w:rPr>
          <w:i/>
          <w:color w:val="888888"/>
        </w:rPr>
        <w:t>[Image placeholder]</w:t>
      </w:r>
    </w:p>
    <w:p>
      <w:pPr>
        <w:spacing w:before="80" w:after="80"/>
        <w:shd w:fill="E8E8E8" w:val="clear"/>
      </w:pPr>
      <w:r>
        <w:rPr>
          <w:i/>
          <w:color w:val="444444"/>
          <w:sz w:val="18"/>
        </w:rPr>
        <w:t>Speaker Notes: Review before the demo: PCF methods</w:t>
        <w:br/>
        <w:t>A PCF method is a plain old Gosu function that is local in a PCF file and executes some logic tied to that PCF file.</w:t>
      </w:r>
    </w:p>
    <w:p>
      <w:pPr>
        <w:pStyle w:val="Heading3"/>
      </w:pPr>
      <w:r>
        <w:rPr>
          <w:sz w:val="24"/>
        </w:rPr>
        <w:t>Slide 16/29: (Untitled)</w:t>
      </w:r>
    </w:p>
    <w:p>
      <w:r>
        <w:rPr>
          <w:i/>
          <w:color w:val="888888"/>
        </w:rPr>
        <w:t>[Image placeholder]</w:t>
      </w:r>
    </w:p>
    <w:p>
      <w:pPr>
        <w:pStyle w:val="Heading3"/>
      </w:pPr>
      <w:r>
        <w:rPr>
          <w:sz w:val="24"/>
        </w:rPr>
        <w:t>Slide 17/29: (Untitled)</w:t>
      </w:r>
    </w:p>
    <w:p>
      <w:r>
        <w:rPr>
          <w:i/>
          <w:color w:val="888888"/>
        </w:rPr>
        <w:t>[Image placeholder]</w:t>
      </w:r>
    </w:p>
    <w:p>
      <w:pPr>
        <w:pStyle w:val="Heading3"/>
      </w:pPr>
      <w:r>
        <w:rPr>
          <w:sz w:val="24"/>
        </w:rPr>
        <w:t>Slide 18/29: (Untitled)</w:t>
      </w:r>
    </w:p>
    <w:p>
      <w:pPr>
        <w:pStyle w:val="Heading3"/>
      </w:pPr>
      <w:r>
        <w:rPr>
          <w:sz w:val="24"/>
        </w:rPr>
        <w:t>Slide 19/29: (Untitled)</w:t>
      </w:r>
    </w:p>
    <w:p>
      <w:r>
        <w:rPr>
          <w:i/>
          <w:color w:val="888888"/>
        </w:rPr>
        <w:t>[Image placeholder]</w:t>
      </w:r>
    </w:p>
    <w:p>
      <w:pPr>
        <w:pStyle w:val="Heading3"/>
      </w:pPr>
      <w:r>
        <w:rPr>
          <w:sz w:val="24"/>
        </w:rPr>
        <w:t>Slide 20/29: (Untitled)</w:t>
      </w:r>
    </w:p>
    <w:p>
      <w:r>
        <w:rPr>
          <w:i/>
          <w:color w:val="888888"/>
        </w:rPr>
        <w:t>[Image placeholder]</w:t>
      </w:r>
    </w:p>
    <w:p>
      <w:pPr>
        <w:pStyle w:val="Heading3"/>
      </w:pPr>
      <w:r>
        <w:rPr>
          <w:sz w:val="24"/>
        </w:rPr>
        <w:t>Slide 21/29: (Untitled)</w:t>
      </w:r>
    </w:p>
    <w:p>
      <w:r>
        <w:rPr>
          <w:i/>
          <w:color w:val="888888"/>
        </w:rPr>
        <w:t>[Image placeholder]</w:t>
      </w:r>
    </w:p>
    <w:p>
      <w:pPr>
        <w:pStyle w:val="Heading3"/>
      </w:pPr>
      <w:r>
        <w:rPr>
          <w:sz w:val="24"/>
        </w:rPr>
        <w:t>Slide 22/29: (Untitled)</w:t>
      </w:r>
    </w:p>
    <w:p>
      <w:r>
        <w:rPr>
          <w:i/>
          <w:color w:val="888888"/>
        </w:rPr>
        <w:t>[Image placeholder]</w:t>
      </w:r>
    </w:p>
    <w:p>
      <w:pPr>
        <w:pStyle w:val="Heading3"/>
      </w:pPr>
      <w:r>
        <w:rPr>
          <w:sz w:val="24"/>
        </w:rPr>
        <w:t>Slide 23/29: (Untitled)</w:t>
      </w:r>
    </w:p>
    <w:p>
      <w:r>
        <w:rPr>
          <w:i/>
          <w:color w:val="888888"/>
        </w:rPr>
        <w:t>[Image placeholder]</w:t>
      </w:r>
    </w:p>
    <w:p>
      <w:pPr>
        <w:pStyle w:val="Heading3"/>
      </w:pPr>
      <w:r>
        <w:rPr>
          <w:sz w:val="24"/>
        </w:rPr>
        <w:t>Slide 24/29: (Untitled)</w:t>
      </w:r>
    </w:p>
    <w:p>
      <w:r>
        <w:rPr>
          <w:i/>
          <w:color w:val="888888"/>
        </w:rPr>
        <w:t>[Image placeholder]</w:t>
      </w:r>
    </w:p>
    <w:p>
      <w:pPr>
        <w:pStyle w:val="Heading3"/>
      </w:pPr>
      <w:r>
        <w:rPr>
          <w:sz w:val="24"/>
        </w:rPr>
        <w:t>Slide 25/29: (Untitled)</w:t>
      </w:r>
    </w:p>
    <w:p>
      <w:r>
        <w:rPr>
          <w:i/>
          <w:color w:val="888888"/>
        </w:rPr>
        <w:t>[Image placeholder]</w:t>
      </w:r>
    </w:p>
    <w:p>
      <w:pPr>
        <w:pStyle w:val="Heading3"/>
      </w:pPr>
      <w:r>
        <w:rPr>
          <w:sz w:val="24"/>
        </w:rPr>
        <w:t>Slide 26/29: (Untitled)</w:t>
      </w:r>
    </w:p>
    <w:p>
      <w:r>
        <w:rPr>
          <w:i/>
          <w:color w:val="888888"/>
        </w:rPr>
        <w:t>[Image placeholder]</w:t>
      </w:r>
    </w:p>
    <w:p>
      <w:pPr>
        <w:pStyle w:val="Heading3"/>
      </w:pPr>
      <w:r>
        <w:rPr>
          <w:sz w:val="24"/>
        </w:rPr>
        <w:t>Slide 27/29: (Untitled)</w:t>
      </w:r>
    </w:p>
    <w:p>
      <w:r>
        <w:rPr>
          <w:i/>
          <w:color w:val="888888"/>
        </w:rPr>
        <w:t>[Image placeholder]</w:t>
      </w:r>
    </w:p>
    <w:p>
      <w:pPr>
        <w:pStyle w:val="Heading3"/>
      </w:pPr>
      <w:r>
        <w:rPr>
          <w:sz w:val="24"/>
        </w:rPr>
        <w:t>Slide 28/29: (Untitled)</w:t>
      </w:r>
    </w:p>
    <w:p>
      <w:r>
        <w:rPr>
          <w:i/>
          <w:color w:val="888888"/>
        </w:rPr>
        <w:t>[Image placeholder]</w:t>
      </w:r>
    </w:p>
    <w:p>
      <w:pPr>
        <w:pStyle w:val="Heading3"/>
      </w:pPr>
      <w:r>
        <w:rPr>
          <w:sz w:val="24"/>
        </w:rPr>
        <w:t>Slide 29/29: (Untitled)</w:t>
      </w:r>
    </w:p>
    <w:p>
      <w:r>
        <w:rPr>
          <w:i/>
          <w:color w:val="888888"/>
        </w:rPr>
        <w:t>[Image placeholder]</w:t>
      </w:r>
    </w:p>
    <w:p>
      <w:pPr>
        <w:pStyle w:val="Heading2"/>
      </w:pPr>
      <w:r>
        <w:t>Assignment</w:t>
      </w:r>
    </w:p>
    <w:p>
      <w:r>
        <w:rPr>
          <w:b/>
          <w:color w:val="008800"/>
        </w:rPr>
        <w:t>[Assignment 11]: Code Generation and Debugging</w:t>
      </w:r>
    </w:p>
    <w:p>
      <w:r>
        <w:rPr>
          <w:i/>
          <w:sz w:val="18"/>
        </w:rPr>
        <w:t>File: 11 - Code Generation and Debugging.pdf</w:t>
      </w:r>
    </w:p>
    <w:p/>
    <w:p>
      <w:pPr>
        <w:spacing w:before="240"/>
        <w:jc w:val="center"/>
      </w:pPr>
      <w:r>
        <w:rPr>
          <w:i/>
          <w:color w:val="999999"/>
          <w:sz w:val="16"/>
        </w:rPr>
        <w:t>--- End of Lesson 11: IS_ Fund-11- Introduction to Code Generation and Debugging | 29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