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12: Introduction to Creating New Entities</w:t>
      </w:r>
    </w:p>
    <w:p>
      <w:pPr>
        <w:spacing w:after="40"/>
      </w:pPr>
      <w:r>
        <w:rPr>
          <w:i/>
          <w:color w:val="999999"/>
          <w:sz w:val="16"/>
        </w:rPr>
        <w:t>Source: IS_Fund_12-Introduction to Creating New Entities.pptx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1/38: (Untitled)</w:t>
      </w:r>
    </w:p>
    <w:p>
      <w:r>
        <w:rPr>
          <w:i/>
          <w:color w:val="888888"/>
        </w:rPr>
        <w:t>[Image placeholder]</w:t>
      </w:r>
    </w:p>
    <w:p>
      <w:pPr>
        <w:pStyle w:val="Heading3"/>
      </w:pPr>
      <w:r>
        <w:rPr>
          <w:sz w:val="24"/>
        </w:rPr>
        <w:t>Slide 2/38: (Untitled)</w:t>
      </w:r>
    </w:p>
    <w:p>
      <w:r>
        <w:rPr>
          <w:i/>
          <w:color w:val="888888"/>
        </w:rPr>
        <w:t>[Image placeholder]</w:t>
      </w:r>
    </w:p>
    <w:p>
      <w:pPr>
        <w:spacing w:before="80" w:after="80"/>
        <w:shd w:fill="E8E8E8" w:val="clear"/>
      </w:pPr>
      <w:r>
        <w:rPr>
          <w:i/>
          <w:color w:val="444444"/>
          <w:sz w:val="18"/>
        </w:rPr>
        <w:t>Speaker Notes: Lesson Objectives</w:t>
        <w:br/>
        <w:t>This lesson will teach you to:</w:t>
        <w:br/>
        <w:br/>
        <w:t>Describe what a custom entity is and how to create a custom entity</w:t>
        <w:br/>
        <w:br/>
        <w:t>Create entity elements and sub-elements that define fields, foreign keys, and arrays on entities</w:t>
        <w:br/>
        <w:br/>
        <w:t>Identify entity related data elements associated with data model design</w:t>
      </w:r>
    </w:p>
    <w:p>
      <w:pPr>
        <w:pStyle w:val="Heading3"/>
      </w:pPr>
      <w:r>
        <w:rPr>
          <w:sz w:val="24"/>
        </w:rPr>
        <w:t>Slide 3/38: (Untitled)</w:t>
      </w:r>
    </w:p>
    <w:p>
      <w:r>
        <w:rPr>
          <w:i/>
          <w:color w:val="888888"/>
        </w:rPr>
        <w:t>[Image placeholder]</w:t>
      </w:r>
    </w:p>
    <w:p>
      <w:pPr>
        <w:spacing w:before="80" w:after="80"/>
        <w:shd w:fill="E8E8E8" w:val="clear"/>
      </w:pPr>
      <w:r>
        <w:rPr>
          <w:i/>
          <w:color w:val="444444"/>
          <w:sz w:val="18"/>
        </w:rPr>
        <w:t>Speaker Notes: User Story</w:t>
        <w:br/>
        <w:t>Let us look at a user story to motivate adding an entity.</w:t>
      </w:r>
    </w:p>
    <w:p>
      <w:pPr>
        <w:pStyle w:val="Heading3"/>
      </w:pPr>
      <w:r>
        <w:rPr>
          <w:sz w:val="24"/>
        </w:rPr>
        <w:t>Slide 4/38: (Untitled)</w:t>
      </w:r>
    </w:p>
    <w:p>
      <w:r>
        <w:rPr>
          <w:i/>
          <w:color w:val="888888"/>
        </w:rPr>
        <w:t>[Image placeholder]</w:t>
      </w:r>
    </w:p>
    <w:p>
      <w:pPr>
        <w:spacing w:before="80" w:after="80"/>
        <w:shd w:fill="E8E8E8" w:val="clear"/>
      </w:pPr>
      <w:r>
        <w:rPr>
          <w:i/>
          <w:color w:val="444444"/>
          <w:sz w:val="18"/>
        </w:rPr>
        <w:t>Speaker Notes: User Story — Policy Summaries</w:t>
        <w:br/>
        <w:t>An insurance company wants to display the policy summaries of the contact. The policy details are stored in the policy administration system and the integration developers are currently implementing the integration point to retrieve the policy summaries. As configuration developers, we need to configure the Data Model and the User Interface to meet the requirement.</w:t>
        <w:br/>
        <w:br/>
        <w:t>After searching the data model, we have found that there is no appropriate OOTB (out-of-the- box) entity to implement this user story. So first, we are going to define a new entity in the Data Model to support this requirement and in later exercises we will make the necessary PCF changes to display the information in the User Interface.</w:t>
      </w:r>
    </w:p>
    <w:p>
      <w:pPr>
        <w:pStyle w:val="Heading3"/>
      </w:pPr>
      <w:r>
        <w:rPr>
          <w:sz w:val="24"/>
        </w:rPr>
        <w:t>Slide 5/38: (Untitled)</w:t>
      </w:r>
    </w:p>
    <w:p>
      <w:r>
        <w:rPr>
          <w:i/>
          <w:color w:val="888888"/>
        </w:rPr>
        <w:t>[Image placeholder]</w:t>
      </w:r>
    </w:p>
    <w:p>
      <w:pPr>
        <w:spacing w:before="80" w:after="80"/>
        <w:shd w:fill="E8E8E8" w:val="clear"/>
      </w:pPr>
      <w:r>
        <w:rPr>
          <w:i/>
          <w:color w:val="444444"/>
          <w:sz w:val="18"/>
        </w:rPr>
        <w:t>Speaker Notes: Defining New Entities</w:t>
        <w:br/>
        <w:br/>
        <w:t>Let us talk about how you define a new entity.</w:t>
      </w:r>
    </w:p>
    <w:p>
      <w:pPr>
        <w:pStyle w:val="Heading3"/>
      </w:pPr>
      <w:r>
        <w:rPr>
          <w:sz w:val="24"/>
        </w:rPr>
        <w:t>Slide 6/38: (Untitled)</w:t>
      </w:r>
    </w:p>
    <w:p>
      <w:r>
        <w:rPr>
          <w:i/>
          <w:color w:val="888888"/>
        </w:rPr>
        <w:t>[Image placeholder]</w:t>
      </w:r>
    </w:p>
    <w:p>
      <w:pPr>
        <w:spacing w:before="80" w:after="80"/>
        <w:shd w:fill="E8E8E8" w:val="clear"/>
      </w:pPr>
      <w:r>
        <w:rPr>
          <w:i/>
          <w:color w:val="444444"/>
          <w:sz w:val="18"/>
        </w:rPr>
        <w:t>Speaker Notes: Review: Entities in the data model (I of 2)</w:t>
        <w:br/>
        <w:br/>
        <w:t>Note: All InsuranceSuite application objects exist as one of the base data objects or as a subtype of a base object.</w:t>
      </w:r>
    </w:p>
    <w:p>
      <w:pPr>
        <w:pStyle w:val="Heading3"/>
      </w:pPr>
      <w:r>
        <w:rPr>
          <w:sz w:val="24"/>
        </w:rPr>
        <w:t>Slide 7/38: (Untitled)</w:t>
      </w:r>
    </w:p>
    <w:p>
      <w:r>
        <w:rPr>
          <w:i/>
          <w:color w:val="888888"/>
        </w:rPr>
        <w:t>[Image placeholder]</w:t>
      </w:r>
    </w:p>
    <w:p>
      <w:pPr>
        <w:spacing w:before="80" w:after="80"/>
        <w:shd w:fill="E8E8E8" w:val="clear"/>
      </w:pPr>
      <w:r>
        <w:rPr>
          <w:i/>
          <w:color w:val="444444"/>
          <w:sz w:val="18"/>
        </w:rPr>
        <w:t>Speaker Notes: Review: Entities in the data model (2 of 2)</w:t>
        <w:br/>
        <w:t>Custom entities are always found in the ...</w:t>
        <w:br/>
        <w:t>\modules\configuration\config\extensions\folder.</w:t>
      </w:r>
    </w:p>
    <w:p>
      <w:pPr>
        <w:pStyle w:val="Heading3"/>
      </w:pPr>
      <w:r>
        <w:rPr>
          <w:sz w:val="24"/>
        </w:rPr>
        <w:t>Slide 8/38: (Untitled)</w:t>
      </w:r>
    </w:p>
    <w:p>
      <w:r>
        <w:rPr>
          <w:i/>
          <w:color w:val="888888"/>
        </w:rPr>
        <w:t>[Image placeholder]</w:t>
      </w:r>
    </w:p>
    <w:p>
      <w:pPr>
        <w:spacing w:before="80" w:after="80"/>
        <w:shd w:fill="E8E8E8" w:val="clear"/>
      </w:pPr>
      <w:r>
        <w:rPr>
          <w:i/>
          <w:color w:val="444444"/>
          <w:sz w:val="18"/>
        </w:rPr>
        <w:t>Speaker Notes: Entities, Java classes and database tables</w:t>
        <w:br/>
        <w:t>For a customer data model entity, the ETI file defines the fields. Custom entities are a single ETI file that customers can edit as needed. A customer entity will consist of only an ETI file and it cannot have EIX or E TX files. All the fields in the custom entity’s ETI file become a part of the generated Java class and a database table.</w:t>
        <w:br/>
        <w:br/>
        <w:t>For custom entities, Guidewire recommends that the entity name should end with Ext, for example, BankAccount_Ext. The names of the fields in the custom entity do not need to end with the Ext sufix.</w:t>
        <w:br/>
        <w:br/>
        <w:t>The name of the database table is automatically generated to match the name of the ETI file and is all lowercase, for example, bankaccount ext. Guidewire creates a special prefix for custom entities by appending x to the two-letter product code for the table name, such as abx bankaccount ext. The table name is an attribuTe of the entity xml element and must have a length of 25 characters or less. When creating an entity, if the entity name has a length of more than 25 characters, you can modify the table name in the Entity dialog to reduce the length to 25 or less, including removing the ext sufix from the table name.</w:t>
      </w:r>
    </w:p>
    <w:p>
      <w:pPr>
        <w:pStyle w:val="Heading3"/>
      </w:pPr>
      <w:r>
        <w:rPr>
          <w:sz w:val="24"/>
        </w:rPr>
        <w:t>Slide 9/38: (Untitled)</w:t>
      </w:r>
    </w:p>
    <w:p>
      <w:r>
        <w:rPr>
          <w:i/>
          <w:color w:val="888888"/>
        </w:rPr>
        <w:t>[Image placeholder]</w:t>
      </w:r>
    </w:p>
    <w:p>
      <w:pPr>
        <w:spacing w:before="80" w:after="80"/>
        <w:shd w:fill="E8E8E8" w:val="clear"/>
      </w:pPr>
      <w:r>
        <w:rPr>
          <w:i/>
          <w:color w:val="444444"/>
          <w:sz w:val="18"/>
        </w:rPr>
        <w:t>Speaker Notes: Entities in the database</w:t>
        <w:br/>
        <w:t>There are two exceptions to the generalization above: virtual and subtype entities.</w:t>
        <w:br/>
        <w:br/>
        <w:t xml:space="preserve">Virtual. Non-persistent entities are entities constructed entirely with code. They exist during run- time, and when the Guidewire application shuts down, the data is not saved to the database. An example of a non-persistent entity is ABContactSearchCriteria in TrainingApp- Guidewire recommends that you do not create non-persistent entities as a general rule </w:t>
        <w:br/>
        <w:br/>
        <w:t>Subtype entities are entities that are children entities of a top level supertype (parent) entity. All fields in the parent entity are inherited by the child entity. A top level supertype entity and all of its child subtypes are stored in a single database table. In this manner, all the entities share the same database table</w:t>
      </w:r>
    </w:p>
    <w:p>
      <w:pPr>
        <w:pStyle w:val="Heading3"/>
      </w:pPr>
      <w:r>
        <w:rPr>
          <w:sz w:val="24"/>
        </w:rPr>
        <w:t>Slide 10/38: (Untitled)</w:t>
      </w:r>
    </w:p>
    <w:p>
      <w:r>
        <w:rPr>
          <w:i/>
          <w:color w:val="888888"/>
        </w:rPr>
        <w:t>[Image placeholder]</w:t>
      </w:r>
    </w:p>
    <w:p>
      <w:pPr>
        <w:spacing w:before="80" w:after="80"/>
        <w:shd w:fill="E8E8E8" w:val="clear"/>
      </w:pPr>
      <w:r>
        <w:rPr>
          <w:i/>
          <w:color w:val="444444"/>
          <w:sz w:val="18"/>
        </w:rPr>
        <w:t>Speaker Notes: Entities in the object model</w:t>
        <w:br/>
        <w:t>Entity enhancements are covered in a separate lesson. Refer to that lesson for more details.</w:t>
      </w:r>
    </w:p>
    <w:p>
      <w:pPr>
        <w:pStyle w:val="Heading3"/>
      </w:pPr>
      <w:r>
        <w:rPr>
          <w:sz w:val="24"/>
        </w:rPr>
        <w:t>Slide 11/38: (Untitled)</w:t>
      </w:r>
    </w:p>
    <w:p>
      <w:r>
        <w:rPr>
          <w:i/>
          <w:color w:val="888888"/>
        </w:rPr>
        <w:t>[Image placeholder]</w:t>
      </w:r>
    </w:p>
    <w:p>
      <w:pPr>
        <w:spacing w:before="80" w:after="80"/>
        <w:shd w:fill="E8E8E8" w:val="clear"/>
      </w:pPr>
      <w:r>
        <w:rPr>
          <w:i/>
          <w:color w:val="444444"/>
          <w:sz w:val="18"/>
        </w:rPr>
        <w:t>Speaker Notes: Data relationships</w:t>
        <w:br/>
        <w:t>Now let us take a look at the kinds of relationships that exist between data entities in Guidewire applications.</w:t>
      </w:r>
    </w:p>
    <w:p>
      <w:pPr>
        <w:pStyle w:val="Heading3"/>
      </w:pPr>
      <w:r>
        <w:rPr>
          <w:sz w:val="24"/>
        </w:rPr>
        <w:t>Slide 12/38: (Untitled)</w:t>
      </w:r>
    </w:p>
    <w:p>
      <w:r>
        <w:rPr>
          <w:i/>
          <w:color w:val="888888"/>
        </w:rPr>
        <w:t>[Image placeholder]</w:t>
      </w:r>
    </w:p>
    <w:p>
      <w:pPr>
        <w:spacing w:before="80" w:after="80"/>
        <w:shd w:fill="E8E8E8" w:val="clear"/>
      </w:pPr>
      <w:r>
        <w:rPr>
          <w:i/>
          <w:color w:val="444444"/>
          <w:sz w:val="18"/>
        </w:rPr>
        <w:t>Speaker Notes: Foreign key</w:t>
        <w:br/>
        <w:br/>
        <w:t>If a foreign key field is added to a base application entity, then the suffix should be Ext.</w:t>
        <w:br/>
        <w:br/>
        <w:t>For a complete reference of the &lt;foreignkey&gt; syntax, refer to the application's Configuration Guide.</w:t>
      </w:r>
    </w:p>
    <w:p>
      <w:pPr>
        <w:pStyle w:val="Heading3"/>
      </w:pPr>
      <w:r>
        <w:rPr>
          <w:sz w:val="24"/>
        </w:rPr>
        <w:t>Slide 13/38: (Untitled)</w:t>
      </w:r>
    </w:p>
    <w:p>
      <w:r>
        <w:rPr>
          <w:i/>
          <w:color w:val="888888"/>
        </w:rPr>
        <w:t>[Image placeholder]</w:t>
      </w:r>
    </w:p>
    <w:p>
      <w:pPr>
        <w:spacing w:before="80" w:after="80"/>
        <w:shd w:fill="E8E8E8" w:val="clear"/>
      </w:pPr>
      <w:r>
        <w:rPr>
          <w:i/>
          <w:color w:val="444444"/>
          <w:sz w:val="18"/>
        </w:rPr>
        <w:t>Speaker Notes: Array</w:t>
        <w:br/>
        <w:t>Keep in mind that arrays are maintained in code. The code assembles the array by executing queries against the database. In order to do this, the application must be able to query for all members of a given array. It can do this only if each member has a foreign key referencing its parent. Note that the value of the arrayentity attribute must match exactly the name of the entity it references.</w:t>
      </w:r>
    </w:p>
    <w:p>
      <w:pPr>
        <w:pStyle w:val="Heading3"/>
      </w:pPr>
      <w:r>
        <w:rPr>
          <w:sz w:val="24"/>
        </w:rPr>
        <w:t>Slide 14/38: (Untitled)</w:t>
      </w:r>
    </w:p>
    <w:p>
      <w:r>
        <w:rPr>
          <w:i/>
          <w:color w:val="888888"/>
        </w:rPr>
        <w:t>[Image placeholder]</w:t>
      </w:r>
    </w:p>
    <w:p>
      <w:pPr>
        <w:spacing w:before="80" w:after="80"/>
        <w:shd w:fill="E8E8E8" w:val="clear"/>
      </w:pPr>
      <w:r>
        <w:rPr>
          <w:i/>
          <w:color w:val="444444"/>
          <w:sz w:val="18"/>
        </w:rPr>
        <w:t>Speaker Notes: One-to-one relationships</w:t>
        <w:br/>
        <w:t>A one-to-one relationship often splits a logical entity across multiple physical entities. For example, when an ABContact is a ABPolicyPerson or ABPolicyCompany, the data model must capture financial summary information.</w:t>
        <w:br/>
        <w:br/>
        <w:t>Storing the financial summary details into the ABContact table would result in a table with numerous rows with null columns. Instead, it is better to have a separate entity manage the financial summary details. In this manner, every ABContact has (at most) one FinancialSummary, and every financial summary applies to (at most) one ABContact.</w:t>
        <w:br/>
        <w:br/>
        <w:t>For more information on one-to- one relationships, refer to documentation.</w:t>
      </w:r>
    </w:p>
    <w:p>
      <w:pPr>
        <w:pStyle w:val="Heading3"/>
      </w:pPr>
      <w:r>
        <w:rPr>
          <w:sz w:val="24"/>
        </w:rPr>
        <w:t>Slide 15/38: (Untitled)</w:t>
      </w:r>
    </w:p>
    <w:p>
      <w:r>
        <w:rPr>
          <w:i/>
          <w:color w:val="888888"/>
        </w:rPr>
        <w:t>[Image placeholder]</w:t>
      </w:r>
    </w:p>
    <w:p>
      <w:pPr>
        <w:spacing w:before="80" w:after="80"/>
        <w:shd w:fill="E8E8E8" w:val="clear"/>
      </w:pPr>
      <w:r>
        <w:rPr>
          <w:i/>
          <w:color w:val="444444"/>
          <w:sz w:val="18"/>
        </w:rPr>
        <w:t>Speaker Notes: Many-to-many relationships (I of 2)</w:t>
        <w:br/>
        <w:t>To add a many-to-many relationship between entity types to the data model, first create a separate versionable entity that represents the many-to-many relationship. (Versionable entities have a version and ID field and can be deleted as opposed to retireable entities which can never be deleted). Next, create foreign keys to each entity in the many-to-many relationship. Then add a unique index consisting of the foreign keys in the relationship.</w:t>
        <w:br/>
        <w:br/>
        <w:t>Many-to-many relationships require a separate entity that contains the required foreign keys and a unique index for the foreign key values so that duplicate rows are not added to the table.</w:t>
      </w:r>
    </w:p>
    <w:p>
      <w:pPr>
        <w:pStyle w:val="Heading3"/>
      </w:pPr>
      <w:r>
        <w:rPr>
          <w:sz w:val="24"/>
        </w:rPr>
        <w:t>Slide 16/38: (Untitled)</w:t>
      </w:r>
    </w:p>
    <w:p>
      <w:r>
        <w:rPr>
          <w:i/>
          <w:color w:val="888888"/>
        </w:rPr>
        <w:t>[Image placeholder]</w:t>
      </w:r>
    </w:p>
    <w:p>
      <w:pPr>
        <w:spacing w:before="80" w:after="80"/>
        <w:shd w:fill="E8E8E8" w:val="clear"/>
      </w:pPr>
      <w:r>
        <w:rPr>
          <w:i/>
          <w:color w:val="444444"/>
          <w:sz w:val="18"/>
        </w:rPr>
        <w:t>Speaker Notes: Many-to-many relationships (2 of 2)</w:t>
        <w:br/>
        <w:t>In order to access the many-to- many relationship values, one of the foreign key tables needs tospecify an array entity. To access the relationship, add an array to one or both entities in the relationship.</w:t>
        <w:br/>
        <w:br/>
        <w:t>In the slide example, the diagram does not represent the defined relationship in TrainingApp. In TrainingApp, UserRole is of the type joinarray. The joinarray entity type is an internal type and Guidewire does not recommend using this entity type. In addition, only IJser has a backing Roles array to UserRole.</w:t>
        <w:br/>
        <w:br/>
        <w:t>For more information on many-to- many relationships and entities of type joinarray, refer to the documentation.</w:t>
      </w:r>
    </w:p>
    <w:p>
      <w:pPr>
        <w:pStyle w:val="Heading3"/>
      </w:pPr>
      <w:r>
        <w:rPr>
          <w:sz w:val="24"/>
        </w:rPr>
        <w:t>Slide 17/38: (Untitled)</w:t>
      </w:r>
    </w:p>
    <w:p>
      <w:r>
        <w:rPr>
          <w:i/>
          <w:color w:val="888888"/>
        </w:rPr>
        <w:t>[Image placeholder]</w:t>
      </w:r>
    </w:p>
    <w:p>
      <w:pPr>
        <w:spacing w:before="80" w:after="80"/>
        <w:shd w:fill="E8E8E8" w:val="clear"/>
      </w:pPr>
      <w:r>
        <w:rPr>
          <w:i/>
          <w:color w:val="444444"/>
          <w:sz w:val="18"/>
        </w:rPr>
        <w:t>Speaker Notes: Circular relationships</w:t>
        <w:br/>
        <w:t>In some cases, an entity  needs to refer to itself- This could occur both for a non- subtyped entity (every Group has a parent group) or a subtyped entity when one subtype refers to another (every ABCompany—which is an ABContact—can have a finance manager who is an ABPerson, which is also an ABContact)- The Guidewire data model does not let an entity reference itself, or two or more entities reference one another in a cyclical manner, using only foreign keys. This is because Guidewire cannot easily determine the order in which rows can safely be written to the database when a data model cycle exists-</w:t>
        <w:br/>
        <w:br/>
        <w:t>To solve this kind of circular dependency between foreign keys, Guidewire recommends that you use an edge foreign key (&lt;edgeForeignKey&gt;)- An edge foreign key from A to B introduces a new, hidden entity that has a foreign key to A and a foreign key to B. However, it does not create any direct foreign key from A to B. As such, ClaimCenter can safely commit the A objects first, then the B objects, and finally, the hidden AIB edge foreign key entities- This ensures that the relationship information does not reference non-existent rows- The same principal is true for two or more entitiesat re erence one ano er In a cyclical fashion. The cycle can be implemented using an edge foreign key, which allows all the individual rows to be written first, and the relationships among the rows to be written afterwards.</w:t>
        <w:br/>
        <w:br/>
        <w:t>For more information on edge foreign keys and circular references, refer to the documentation.</w:t>
      </w:r>
    </w:p>
    <w:p>
      <w:pPr>
        <w:pStyle w:val="Heading3"/>
      </w:pPr>
      <w:r>
        <w:rPr>
          <w:sz w:val="24"/>
        </w:rPr>
        <w:t>Slide 18/38: (Untitled)</w:t>
      </w:r>
    </w:p>
    <w:p>
      <w:r>
        <w:rPr>
          <w:i/>
          <w:color w:val="888888"/>
        </w:rPr>
        <w:t>[Image placeholder]</w:t>
      </w:r>
    </w:p>
    <w:p>
      <w:pPr>
        <w:pStyle w:val="Heading3"/>
      </w:pPr>
      <w:r>
        <w:rPr>
          <w:sz w:val="24"/>
        </w:rPr>
        <w:t>Slide 19/38: (Untitled)</w:t>
      </w:r>
    </w:p>
    <w:p>
      <w:pPr>
        <w:pStyle w:val="Heading3"/>
      </w:pPr>
      <w:r>
        <w:rPr>
          <w:sz w:val="24"/>
        </w:rPr>
        <w:t>Slide 20/38: (Untitled)</w:t>
      </w:r>
    </w:p>
    <w:p>
      <w:r>
        <w:rPr>
          <w:i/>
          <w:color w:val="888888"/>
        </w:rPr>
        <w:t>[Image placeholder]</w:t>
      </w:r>
    </w:p>
    <w:p>
      <w:pPr>
        <w:pStyle w:val="Heading3"/>
      </w:pPr>
      <w:r>
        <w:rPr>
          <w:sz w:val="24"/>
        </w:rPr>
        <w:t>Slide 21/38: (Untitled)</w:t>
      </w:r>
    </w:p>
    <w:p>
      <w:r>
        <w:rPr>
          <w:i/>
          <w:color w:val="888888"/>
        </w:rPr>
        <w:t>[Image placeholder]</w:t>
      </w:r>
    </w:p>
    <w:p>
      <w:pPr>
        <w:pStyle w:val="Heading3"/>
      </w:pPr>
      <w:r>
        <w:rPr>
          <w:sz w:val="24"/>
        </w:rPr>
        <w:t>Slide 22/38: (Untitled)</w:t>
      </w:r>
    </w:p>
    <w:p>
      <w:r>
        <w:rPr>
          <w:i/>
          <w:color w:val="888888"/>
        </w:rPr>
        <w:t>[Image placeholder]</w:t>
      </w:r>
    </w:p>
    <w:p>
      <w:pPr>
        <w:pStyle w:val="Heading3"/>
      </w:pPr>
      <w:r>
        <w:rPr>
          <w:sz w:val="24"/>
        </w:rPr>
        <w:t>Slide 23/38: (Untitled)</w:t>
      </w:r>
    </w:p>
    <w:p>
      <w:r>
        <w:rPr>
          <w:i/>
          <w:color w:val="888888"/>
        </w:rPr>
        <w:t>[Image placeholder]</w:t>
      </w:r>
    </w:p>
    <w:p>
      <w:pPr>
        <w:pStyle w:val="Heading3"/>
      </w:pPr>
      <w:r>
        <w:rPr>
          <w:sz w:val="24"/>
        </w:rPr>
        <w:t>Slide 24/38: (Untitled)</w:t>
      </w:r>
    </w:p>
    <w:p>
      <w:r>
        <w:rPr>
          <w:i/>
          <w:color w:val="888888"/>
        </w:rPr>
        <w:t>[Image placeholder]</w:t>
      </w:r>
    </w:p>
    <w:p>
      <w:pPr>
        <w:pStyle w:val="Heading3"/>
      </w:pPr>
      <w:r>
        <w:rPr>
          <w:sz w:val="24"/>
        </w:rPr>
        <w:t>Slide 25/38: (Untitled)</w:t>
      </w:r>
    </w:p>
    <w:p>
      <w:r>
        <w:rPr>
          <w:i/>
          <w:color w:val="888888"/>
        </w:rPr>
        <w:t>[Image placeholder]</w:t>
      </w:r>
    </w:p>
    <w:p>
      <w:pPr>
        <w:pStyle w:val="Heading3"/>
      </w:pPr>
      <w:r>
        <w:rPr>
          <w:sz w:val="24"/>
        </w:rPr>
        <w:t>Slide 26/38: (Untitled)</w:t>
      </w:r>
    </w:p>
    <w:p>
      <w:r>
        <w:rPr>
          <w:i/>
          <w:color w:val="888888"/>
        </w:rPr>
        <w:t>[Image placeholder]</w:t>
      </w:r>
    </w:p>
    <w:p>
      <w:pPr>
        <w:pStyle w:val="Heading3"/>
      </w:pPr>
      <w:r>
        <w:rPr>
          <w:sz w:val="24"/>
        </w:rPr>
        <w:t>Slide 27/38: (Untitled)</w:t>
      </w:r>
    </w:p>
    <w:p>
      <w:r>
        <w:rPr>
          <w:i/>
          <w:color w:val="888888"/>
        </w:rPr>
        <w:t>[Image placeholder]</w:t>
      </w:r>
    </w:p>
    <w:p>
      <w:pPr>
        <w:pStyle w:val="Heading3"/>
      </w:pPr>
      <w:r>
        <w:rPr>
          <w:sz w:val="24"/>
        </w:rPr>
        <w:t>Slide 28/38: (Untitled)</w:t>
      </w:r>
    </w:p>
    <w:p>
      <w:r>
        <w:rPr>
          <w:i/>
          <w:color w:val="888888"/>
        </w:rPr>
        <w:t>[Image placeholder]</w:t>
      </w:r>
    </w:p>
    <w:p>
      <w:pPr>
        <w:pStyle w:val="Heading3"/>
      </w:pPr>
      <w:r>
        <w:rPr>
          <w:sz w:val="24"/>
        </w:rPr>
        <w:t>Slide 29/38: (Untitled)</w:t>
      </w:r>
    </w:p>
    <w:p>
      <w:r>
        <w:rPr>
          <w:i/>
          <w:color w:val="888888"/>
        </w:rPr>
        <w:t>[Image placeholder]</w:t>
      </w:r>
    </w:p>
    <w:p>
      <w:pPr>
        <w:pStyle w:val="Heading3"/>
      </w:pPr>
      <w:r>
        <w:rPr>
          <w:sz w:val="24"/>
        </w:rPr>
        <w:t>Slide 30/38: (Untitled)</w:t>
      </w:r>
    </w:p>
    <w:p>
      <w:r>
        <w:rPr>
          <w:i/>
          <w:color w:val="888888"/>
        </w:rPr>
        <w:t>[Image placeholder]</w:t>
      </w:r>
    </w:p>
    <w:p>
      <w:pPr>
        <w:pStyle w:val="Heading3"/>
      </w:pPr>
      <w:r>
        <w:rPr>
          <w:sz w:val="24"/>
        </w:rPr>
        <w:t>Slide 31/38: (Untitled)</w:t>
      </w:r>
    </w:p>
    <w:p>
      <w:pPr>
        <w:pStyle w:val="Heading3"/>
      </w:pPr>
      <w:r>
        <w:rPr>
          <w:sz w:val="24"/>
        </w:rPr>
        <w:t>Slide 32/38: (Untitled)</w:t>
      </w:r>
    </w:p>
    <w:p>
      <w:pPr>
        <w:pStyle w:val="Heading3"/>
      </w:pPr>
      <w:r>
        <w:rPr>
          <w:sz w:val="24"/>
        </w:rPr>
        <w:t>Slide 33/38: (Untitled)</w:t>
      </w:r>
    </w:p>
    <w:p>
      <w:pPr>
        <w:pStyle w:val="Heading3"/>
      </w:pPr>
      <w:r>
        <w:rPr>
          <w:sz w:val="24"/>
        </w:rPr>
        <w:t>Slide 34/38: (Untitled)</w:t>
      </w:r>
    </w:p>
    <w:p>
      <w:pPr>
        <w:pStyle w:val="Heading3"/>
      </w:pPr>
      <w:r>
        <w:rPr>
          <w:sz w:val="24"/>
        </w:rPr>
        <w:t>Slide 35/38: (Untitled)</w:t>
      </w:r>
    </w:p>
    <w:p>
      <w:pPr>
        <w:pStyle w:val="Heading3"/>
      </w:pPr>
      <w:r>
        <w:rPr>
          <w:sz w:val="24"/>
        </w:rPr>
        <w:t>Slide 36/38: (Untitled)</w:t>
      </w:r>
    </w:p>
    <w:p>
      <w:pPr>
        <w:pStyle w:val="Heading3"/>
      </w:pPr>
      <w:r>
        <w:rPr>
          <w:sz w:val="24"/>
        </w:rPr>
        <w:t>Slide 37/38: (Untitled)</w:t>
      </w:r>
    </w:p>
    <w:p>
      <w:pPr>
        <w:pStyle w:val="Heading3"/>
      </w:pPr>
      <w:r>
        <w:rPr>
          <w:sz w:val="24"/>
        </w:rPr>
        <w:t>Slide 38/38: (Untitled)</w:t>
      </w:r>
    </w:p>
    <w:p>
      <w:pPr>
        <w:pStyle w:val="Heading2"/>
      </w:pPr>
      <w:r>
        <w:t>Assignment</w:t>
      </w:r>
    </w:p>
    <w:p>
      <w:r>
        <w:rPr>
          <w:b/>
          <w:color w:val="008800"/>
        </w:rPr>
        <w:t>[Assignment 12]: Creating New Entities</w:t>
      </w:r>
    </w:p>
    <w:p>
      <w:r>
        <w:rPr>
          <w:i/>
          <w:sz w:val="18"/>
        </w:rPr>
        <w:t>File: 12 - Creating New Entities.pdf</w:t>
      </w:r>
    </w:p>
    <w:p/>
    <w:p>
      <w:pPr>
        <w:spacing w:before="240"/>
        <w:jc w:val="center"/>
      </w:pPr>
      <w:r>
        <w:rPr>
          <w:i/>
          <w:color w:val="999999"/>
          <w:sz w:val="16"/>
        </w:rPr>
        <w:t>--- End of Lesson 12: Introduction to Creating New Entities | 38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