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15: Introduction to Typelists</w:t>
      </w:r>
    </w:p>
    <w:p>
      <w:pPr>
        <w:spacing w:after="40"/>
      </w:pPr>
      <w:r>
        <w:rPr>
          <w:i/>
          <w:color w:val="999999"/>
          <w:sz w:val="16"/>
        </w:rPr>
        <w:t>Source: IS_Fund_15- Introduction to Typelists.pptx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spacing w:before="80" w:after="80"/>
        <w:shd w:fill="E8E8E8" w:val="clear"/>
      </w:pPr>
      <w:r>
        <w:rPr>
          <w:i/>
          <w:color w:val="444444"/>
          <w:sz w:val="18"/>
        </w:rPr>
        <w:t>Speaker Notes: User Story: Invoicing Method</w:t>
        <w:br/>
        <w:t>Shown here is an example user story requirement requested by a fictional business analyst.</w:t>
      </w:r>
    </w:p>
    <w:p>
      <w:pPr>
        <w:pStyle w:val="Heading3"/>
      </w:pPr>
      <w:r>
        <w:rPr>
          <w:sz w:val="24"/>
        </w:rPr>
        <w:t>Slide 5/27: (Untitled)</w:t>
      </w:r>
    </w:p>
    <w:p>
      <w:r>
        <w:rPr>
          <w:i/>
          <w:color w:val="888888"/>
        </w:rPr>
        <w:t>[Image placeholder]</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Typelist</w:t>
        <w:br/>
        <w:br/>
        <w:t>Whenever there is a drop-down list in an InsuranceSuite application interface, it is usually a Typelist. If Guidewire defines a typelist as final, it is not possible to add or delete typecodes from the typelist.</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Typelists and Typekey fields</w:t>
        <w:br/>
        <w:br/>
        <w:t>The specified typelist limits the available field values to those defined in the typelist- If you filter the typelist, the field displays a subset of the typelist values.</w:t>
      </w:r>
    </w:p>
    <w:p>
      <w:pPr>
        <w:pStyle w:val="Heading3"/>
      </w:pPr>
      <w:r>
        <w:rPr>
          <w:sz w:val="24"/>
        </w:rPr>
        <w:t>Slide 8/27: (Untitled)</w:t>
      </w:r>
    </w:p>
    <w:p>
      <w:r>
        <w:rPr>
          <w:i/>
          <w:color w:val="888888"/>
        </w:rPr>
        <w:t>[Image placeholder]</w:t>
      </w:r>
    </w:p>
    <w:p>
      <w:pPr>
        <w:spacing w:before="80" w:after="80"/>
        <w:shd w:fill="E8E8E8" w:val="clear"/>
      </w:pPr>
      <w:r>
        <w:rPr>
          <w:i/>
          <w:color w:val="444444"/>
          <w:sz w:val="18"/>
        </w:rPr>
        <w:t>Speaker Notes: Kinds of Typelists</w:t>
        <w:br/>
        <w:t>In some cases, an internal typelist does not have a physical file that is exposed in Guidewire Studio. One type of virtual typelist is a typelist of subtypes for a given supertype. You will not find the virtual typelists in Studio, but you can see the Java classes that get generated from them. For example, you can use the CTRL + SHIFT + N to search for ABContact.java and you will see that one of the search results is in the configuration\generated\typekey folder but there is not matching physical typelist</w:t>
        <w:br/>
        <w:br/>
        <w:t>Typelists with the final="true“ attribute defined in the &lt;typelist element cannot be extended. An internal typelist extension (TIX) file can only be found in the folder.</w:t>
        <w:br/>
        <w:br/>
        <w:t>You can always determine to base configuration for a Guidewire application by looking at the zip file.</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Typelists in the data model</w:t>
        <w:br/>
        <w:t>For an entity to be able to access and use a typelist, you need to define a &lt;typekey&gt; element on that entity. Use the &lt;typekey&gt; element to specify the typelist in the entity metadata.</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Typelists in the data model (Continued)</w:t>
        <w:br/>
        <w:t>For an entity to be able to access and use a typelist, you need to define a &lt;typekey&gt; element on that entity. Use the &lt;typekey&gt; element to specify the typelist in the entity metadata.</w:t>
      </w:r>
    </w:p>
    <w:p>
      <w:pPr>
        <w:pStyle w:val="Heading3"/>
      </w:pPr>
      <w:r>
        <w:rPr>
          <w:sz w:val="24"/>
        </w:rPr>
        <w:t>Slide 11/27: (Untitled)</w:t>
      </w:r>
    </w:p>
    <w:p>
      <w:r>
        <w:rPr>
          <w:i/>
          <w:color w:val="888888"/>
        </w:rPr>
        <w:t>[Image placeholder]</w:t>
      </w:r>
    </w:p>
    <w:p>
      <w:pPr>
        <w:spacing w:before="80" w:after="80"/>
        <w:shd w:fill="E8E8E8" w:val="clear"/>
      </w:pPr>
      <w:r>
        <w:rPr>
          <w:i/>
          <w:color w:val="444444"/>
          <w:sz w:val="18"/>
        </w:rPr>
        <w:t>Speaker Notes: Typelists and Typekey fields in the database</w:t>
        <w:br/>
        <w:br/>
        <w:t>Making changes to Typelists, Typecodes, and Typekeys generate changes to the Data Model. Guidewire recommends that you regenerate the InsuranceSuite application's Data Dictionary if you make any updates to the Data Model. If you have made any mistakes in the previous steps, regenerating the data dictionary helps to identify those mistakes.</w:t>
      </w:r>
    </w:p>
    <w:p>
      <w:pPr>
        <w:pStyle w:val="Heading3"/>
      </w:pPr>
      <w:r>
        <w:rPr>
          <w:sz w:val="24"/>
        </w:rPr>
        <w:t>Slide 12/27: (Untitled)</w:t>
      </w:r>
    </w:p>
    <w:p>
      <w:r>
        <w:rPr>
          <w:i/>
          <w:color w:val="888888"/>
        </w:rPr>
        <w:t>[Image placeholder]</w:t>
      </w:r>
    </w:p>
    <w:p>
      <w:pPr>
        <w:spacing w:before="80" w:after="80"/>
        <w:shd w:fill="E8E8E8" w:val="clear"/>
      </w:pPr>
      <w:r>
        <w:rPr>
          <w:i/>
          <w:color w:val="444444"/>
          <w:sz w:val="18"/>
        </w:rPr>
        <w:t>Speaker Notes: Typelists and Typekeys in the object model</w:t>
        <w:br/>
        <w:t>Ensure that you fully understand the dependencies between typelists and other application files before you modify a typelist. In general, Guidewire does not recommend that you make changes to existing typelists other than the following:</w:t>
        <w:br/>
        <w:br/>
        <w:t>Extending a non-final typelist to add additional typekeys-</w:t>
        <w:br/>
        <w:br/>
        <w:t>Retiring a typekey, which makes it invisible in the ClaimCenter interface, but leaves the typekey in the application database.</w:t>
      </w:r>
    </w:p>
    <w:p>
      <w:pPr>
        <w:pStyle w:val="Heading3"/>
      </w:pPr>
      <w:r>
        <w:rPr>
          <w:sz w:val="24"/>
        </w:rPr>
        <w:t>Slide 13/27: (Untitled)</w:t>
      </w:r>
    </w:p>
    <w:p>
      <w:r>
        <w:rPr>
          <w:i/>
          <w:color w:val="888888"/>
        </w:rPr>
        <w:t>[Image placeholder]</w:t>
      </w:r>
    </w:p>
    <w:p>
      <w:pPr>
        <w:pStyle w:val="Heading3"/>
      </w:pPr>
      <w:r>
        <w:rPr>
          <w:sz w:val="24"/>
        </w:rPr>
        <w:t>Slide 14/27: (Untitled)</w:t>
      </w:r>
    </w:p>
    <w:p>
      <w:r>
        <w:rPr>
          <w:i/>
          <w:color w:val="888888"/>
        </w:rPr>
        <w:t>[Image placeholder]</w:t>
      </w:r>
    </w:p>
    <w:p>
      <w:pPr>
        <w:spacing w:before="80" w:after="80"/>
        <w:shd w:fill="E8E8E8" w:val="clear"/>
      </w:pPr>
      <w:r>
        <w:rPr>
          <w:i/>
          <w:color w:val="444444"/>
          <w:sz w:val="18"/>
        </w:rPr>
        <w:t>Speaker Notes: Typefilters</w:t>
        <w:br/>
        <w:t>A Typefilter defines a named subset of the Typecodes that could be used as value for the associated Typekey field that references this Typelist.</w:t>
      </w:r>
    </w:p>
    <w:p>
      <w:pPr>
        <w:pStyle w:val="Heading3"/>
      </w:pPr>
      <w:r>
        <w:rPr>
          <w:sz w:val="24"/>
        </w:rPr>
        <w:t>Slide 15/27: (Untitled)</w:t>
      </w:r>
    </w:p>
    <w:p>
      <w:r>
        <w:rPr>
          <w:i/>
          <w:color w:val="888888"/>
        </w:rPr>
        <w:t>[Image placeholder]</w:t>
      </w:r>
    </w:p>
    <w:p>
      <w:pPr>
        <w:pStyle w:val="Heading3"/>
      </w:pPr>
      <w:r>
        <w:rPr>
          <w:sz w:val="24"/>
        </w:rPr>
        <w:t>Slide 16/27: (Untitled)</w:t>
      </w:r>
    </w:p>
    <w:p>
      <w:pPr>
        <w:pStyle w:val="Heading3"/>
      </w:pPr>
      <w:r>
        <w:rPr>
          <w:sz w:val="24"/>
        </w:rPr>
        <w:t>Slide 17/27: (Untitled)</w:t>
      </w:r>
    </w:p>
    <w:p>
      <w:r>
        <w:rPr>
          <w:i/>
          <w:color w:val="888888"/>
        </w:rPr>
        <w:t>[Image placeholder]</w:t>
      </w:r>
    </w:p>
    <w:p>
      <w:pPr>
        <w:pStyle w:val="Heading3"/>
      </w:pPr>
      <w:r>
        <w:rPr>
          <w:sz w:val="24"/>
        </w:rPr>
        <w:t>Slide 18/27: (Untitled)</w:t>
      </w:r>
    </w:p>
    <w:p>
      <w:r>
        <w:rPr>
          <w:i/>
          <w:color w:val="888888"/>
        </w:rPr>
        <w:t>[Image placeholder]</w:t>
      </w:r>
    </w:p>
    <w:p>
      <w:pPr>
        <w:pStyle w:val="Heading3"/>
      </w:pPr>
      <w:r>
        <w:rPr>
          <w:sz w:val="24"/>
        </w:rPr>
        <w:t>Slide 19/27: (Untitled)</w:t>
      </w:r>
    </w:p>
    <w:p>
      <w:r>
        <w:rPr>
          <w:i/>
          <w:color w:val="888888"/>
        </w:rPr>
        <w:t>[Image placeholder]</w:t>
      </w:r>
    </w:p>
    <w:p>
      <w:pPr>
        <w:pStyle w:val="Heading3"/>
      </w:pPr>
      <w:r>
        <w:rPr>
          <w:sz w:val="24"/>
        </w:rPr>
        <w:t>Slide 20/27: (Untitled)</w:t>
      </w:r>
    </w:p>
    <w:p>
      <w:r>
        <w:rPr>
          <w:i/>
          <w:color w:val="888888"/>
        </w:rPr>
        <w:t>[Image placeholder]</w:t>
      </w:r>
    </w:p>
    <w:p>
      <w:pPr>
        <w:pStyle w:val="Heading3"/>
      </w:pPr>
      <w:r>
        <w:rPr>
          <w:sz w:val="24"/>
        </w:rPr>
        <w:t>Slide 21/27: (Untitled)</w:t>
      </w:r>
    </w:p>
    <w:p>
      <w:r>
        <w:rPr>
          <w:i/>
          <w:color w:val="888888"/>
        </w:rPr>
        <w:t>[Image placeholder]</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15]: Typelists</w:t>
      </w:r>
    </w:p>
    <w:p>
      <w:r>
        <w:rPr>
          <w:i/>
          <w:sz w:val="18"/>
        </w:rPr>
        <w:t>File: 15 - Typelists.pdf</w:t>
      </w:r>
    </w:p>
    <w:p/>
    <w:p>
      <w:pPr>
        <w:spacing w:before="240"/>
        <w:jc w:val="center"/>
      </w:pPr>
      <w:r>
        <w:rPr>
          <w:i/>
          <w:color w:val="999999"/>
          <w:sz w:val="16"/>
        </w:rPr>
        <w:t>--- End of Lesson 15: Introduction to Typelists | 27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