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07: InsuranceSuite Developer Fundamentals</w:t>
      </w:r>
    </w:p>
    <w:p>
      <w:pPr>
        <w:pStyle w:val="Heading2"/>
      </w:pPr>
      <w:r>
        <w:rPr>
          <w:color w:val="333333"/>
          <w:sz w:val="28"/>
        </w:rPr>
        <w:t>Lesson 16: Introduction to Popups</w:t>
      </w:r>
    </w:p>
    <w:p>
      <w:pPr>
        <w:spacing w:after="40"/>
      </w:pPr>
      <w:r>
        <w:rPr>
          <w:i/>
          <w:color w:val="999999"/>
          <w:sz w:val="16"/>
        </w:rPr>
        <w:t>Source: IS_Fund_16- Introduction to Popups.pptx</w:t>
      </w:r>
    </w:p>
    <w:p>
      <w:pPr>
        <w:pStyle w:val="Heading3"/>
      </w:pPr>
      <w:r>
        <w:t>Video References</w:t>
      </w:r>
    </w:p>
    <w:p>
      <w:pPr>
        <w:pStyle w:val="ListNumber"/>
      </w:pPr>
      <w:r>
        <w:rPr>
          <w:color w:val="0066CC"/>
          <w:sz w:val="20"/>
        </w:rPr>
        <w:t>[Video 1: IS_Fund_01_01.mp4]</w:t>
      </w:r>
    </w:p>
    <w:p>
      <w:pPr>
        <w:pStyle w:val="ListNumber"/>
      </w:pPr>
      <w:r>
        <w:rPr>
          <w:color w:val="0066CC"/>
          <w:sz w:val="20"/>
        </w:rPr>
        <w:t>[Video 2: IS_Fund_01_02.mp4]</w:t>
      </w:r>
    </w:p>
    <w:p>
      <w:pPr>
        <w:pStyle w:val="ListNumber"/>
      </w:pPr>
      <w:r>
        <w:rPr>
          <w:color w:val="0066CC"/>
          <w:sz w:val="20"/>
        </w:rPr>
        <w:t>[Video 3: IS_Fund_02_01.mp4]</w:t>
      </w:r>
    </w:p>
    <w:p>
      <w:pPr>
        <w:pStyle w:val="ListNumber"/>
      </w:pPr>
      <w:r>
        <w:rPr>
          <w:color w:val="0066CC"/>
          <w:sz w:val="20"/>
        </w:rPr>
        <w:t>[Video 4: IS_Fund_03_01.mp4]</w:t>
      </w:r>
    </w:p>
    <w:p>
      <w:pPr>
        <w:pStyle w:val="ListNumber"/>
      </w:pPr>
      <w:r>
        <w:rPr>
          <w:color w:val="0066CC"/>
          <w:sz w:val="20"/>
        </w:rPr>
        <w:t>[Video 5: IS_Fund_03_02.mkv]</w:t>
      </w:r>
    </w:p>
    <w:p>
      <w:pPr>
        <w:pStyle w:val="ListNumber"/>
      </w:pPr>
      <w:r>
        <w:rPr>
          <w:color w:val="0066CC"/>
          <w:sz w:val="20"/>
        </w:rPr>
        <w:t>[Video 6: IS_Fund_03_03.mp4]</w:t>
      </w:r>
    </w:p>
    <w:p>
      <w:pPr>
        <w:pStyle w:val="ListNumber"/>
      </w:pPr>
      <w:r>
        <w:rPr>
          <w:color w:val="0066CC"/>
          <w:sz w:val="20"/>
        </w:rPr>
        <w:t>[Video 7: IS_Fund_04.mp4]</w:t>
      </w:r>
    </w:p>
    <w:p>
      <w:pPr>
        <w:pStyle w:val="ListNumber"/>
      </w:pPr>
      <w:r>
        <w:rPr>
          <w:color w:val="0066CC"/>
          <w:sz w:val="20"/>
        </w:rPr>
        <w:t>[Video 8: IS_Fund_05_01.mp4]</w:t>
      </w:r>
    </w:p>
    <w:p>
      <w:pPr>
        <w:pStyle w:val="ListNumber"/>
      </w:pPr>
      <w:r>
        <w:rPr>
          <w:color w:val="0066CC"/>
          <w:sz w:val="20"/>
        </w:rPr>
        <w:t>[Video 9: IS_Fund_05_02.mp4]</w:t>
      </w:r>
    </w:p>
    <w:p>
      <w:pPr>
        <w:pStyle w:val="ListNumber"/>
      </w:pPr>
      <w:r>
        <w:rPr>
          <w:color w:val="0066CC"/>
          <w:sz w:val="20"/>
        </w:rPr>
        <w:t>[Video 10: IS_Fund_05_03.mp4]</w:t>
      </w:r>
    </w:p>
    <w:p>
      <w:pPr>
        <w:pStyle w:val="ListNumber"/>
      </w:pPr>
      <w:r>
        <w:rPr>
          <w:color w:val="0066CC"/>
          <w:sz w:val="20"/>
        </w:rPr>
        <w:t>[Video 11: IS_Fund_06_01.mp4]</w:t>
      </w:r>
    </w:p>
    <w:p>
      <w:pPr>
        <w:pStyle w:val="ListNumber"/>
      </w:pPr>
      <w:r>
        <w:rPr>
          <w:color w:val="0066CC"/>
          <w:sz w:val="20"/>
        </w:rPr>
        <w:t>[Video 12: IS_Fund_06_02.mp4]</w:t>
      </w:r>
    </w:p>
    <w:p>
      <w:pPr>
        <w:pStyle w:val="ListNumber"/>
      </w:pPr>
      <w:r>
        <w:rPr>
          <w:color w:val="0066CC"/>
          <w:sz w:val="20"/>
        </w:rPr>
        <w:t>[Video 13: IS_Fund_06_03.mp4]</w:t>
      </w:r>
    </w:p>
    <w:p>
      <w:pPr>
        <w:pStyle w:val="ListNumber"/>
      </w:pPr>
      <w:r>
        <w:rPr>
          <w:color w:val="0066CC"/>
          <w:sz w:val="20"/>
        </w:rPr>
        <w:t>[Video 14: IS_Fund_07.mp4]</w:t>
      </w:r>
    </w:p>
    <w:p>
      <w:pPr>
        <w:pStyle w:val="ListNumber"/>
      </w:pPr>
      <w:r>
        <w:rPr>
          <w:color w:val="0066CC"/>
          <w:sz w:val="20"/>
        </w:rPr>
        <w:t>[Video 15: IS_Fund_08.mp4]</w:t>
      </w:r>
    </w:p>
    <w:p>
      <w:pPr>
        <w:pStyle w:val="ListNumber"/>
      </w:pPr>
      <w:r>
        <w:rPr>
          <w:color w:val="0066CC"/>
          <w:sz w:val="20"/>
        </w:rPr>
        <w:t>[Video 16: IS_Fund_09.mp4]</w:t>
      </w:r>
    </w:p>
    <w:p>
      <w:pPr>
        <w:pStyle w:val="ListNumber"/>
      </w:pPr>
      <w:r>
        <w:rPr>
          <w:color w:val="0066CC"/>
          <w:sz w:val="20"/>
        </w:rPr>
        <w:t>[Video 17: IS_Fund_10.mp4]</w:t>
      </w:r>
    </w:p>
    <w:p>
      <w:pPr>
        <w:pStyle w:val="ListNumber"/>
      </w:pPr>
      <w:r>
        <w:rPr>
          <w:color w:val="0066CC"/>
          <w:sz w:val="20"/>
        </w:rPr>
        <w:t>[Video 18: IS_Fund_11.mp4]</w:t>
      </w:r>
    </w:p>
    <w:p>
      <w:pPr>
        <w:pStyle w:val="ListNumber"/>
      </w:pPr>
      <w:r>
        <w:rPr>
          <w:color w:val="0066CC"/>
          <w:sz w:val="20"/>
        </w:rPr>
        <w:t>[Video 19: IS_Fund_12.mp4]</w:t>
      </w:r>
    </w:p>
    <w:p>
      <w:pPr>
        <w:pStyle w:val="ListNumber"/>
      </w:pPr>
      <w:r>
        <w:rPr>
          <w:color w:val="0066CC"/>
          <w:sz w:val="20"/>
        </w:rPr>
        <w:t>[Video 20: IS_Fund_13.mp4]</w:t>
      </w:r>
    </w:p>
    <w:p>
      <w:pPr>
        <w:pStyle w:val="ListNumber"/>
      </w:pPr>
      <w:r>
        <w:rPr>
          <w:color w:val="0066CC"/>
          <w:sz w:val="20"/>
        </w:rPr>
        <w:t>[Video 21: IS_Fund_14.mp4]</w:t>
      </w:r>
    </w:p>
    <w:p>
      <w:pPr>
        <w:pStyle w:val="ListNumber"/>
      </w:pPr>
      <w:r>
        <w:rPr>
          <w:color w:val="0066CC"/>
          <w:sz w:val="20"/>
        </w:rPr>
        <w:t>[Video 22: IS_Fund_15.mp4]</w:t>
      </w:r>
    </w:p>
    <w:p>
      <w:pPr>
        <w:pStyle w:val="ListNumber"/>
      </w:pPr>
      <w:r>
        <w:rPr>
          <w:color w:val="0066CC"/>
          <w:sz w:val="20"/>
        </w:rPr>
        <w:t>[Video 23: IS_Fund_16.mp4]</w:t>
      </w:r>
    </w:p>
    <w:p>
      <w:pPr>
        <w:pStyle w:val="ListNumber"/>
      </w:pPr>
      <w:r>
        <w:rPr>
          <w:color w:val="0066CC"/>
          <w:sz w:val="20"/>
        </w:rPr>
        <w:t>[Video 24: IS_Fund_18.mp4]</w:t>
      </w:r>
    </w:p>
    <w:p>
      <w:pPr>
        <w:pStyle w:val="ListNumber"/>
      </w:pPr>
      <w:r>
        <w:rPr>
          <w:color w:val="0066CC"/>
          <w:sz w:val="20"/>
        </w:rPr>
        <w:t>[Video 25: IS_Fund_19.mp4]</w:t>
      </w:r>
    </w:p>
    <w:p>
      <w:pPr>
        <w:pStyle w:val="ListNumber"/>
      </w:pPr>
      <w:r>
        <w:rPr>
          <w:color w:val="0066CC"/>
          <w:sz w:val="20"/>
        </w:rPr>
        <w:t>[Video 26: IS_Fund_20.mp4]</w:t>
      </w:r>
    </w:p>
    <w:p>
      <w:pPr>
        <w:pStyle w:val="ListNumber"/>
      </w:pPr>
      <w:r>
        <w:rPr>
          <w:color w:val="0066CC"/>
          <w:sz w:val="20"/>
        </w:rPr>
        <w:t>[Video 27: IS_Fund_21.mp4]</w:t>
      </w:r>
    </w:p>
    <w:p>
      <w:pPr>
        <w:pStyle w:val="ListNumber"/>
      </w:pPr>
      <w:r>
        <w:rPr>
          <w:color w:val="0066CC"/>
          <w:sz w:val="20"/>
        </w:rPr>
        <w:t>[Video 28: IS_Fund_22.mp4]</w:t>
      </w:r>
    </w:p>
    <w:p>
      <w:pPr>
        <w:pStyle w:val="ListNumber"/>
      </w:pPr>
      <w:r>
        <w:rPr>
          <w:color w:val="0066CC"/>
          <w:sz w:val="20"/>
        </w:rPr>
        <w:t>[Video 29: Is_Fund_17 .mp4]</w:t>
      </w:r>
    </w:p>
    <w:p/>
    <w:p>
      <w:pPr>
        <w:pStyle w:val="Heading2"/>
      </w:pPr>
      <w:r>
        <w:t>Slide Content</w:t>
      </w:r>
    </w:p>
    <w:p>
      <w:pPr>
        <w:pStyle w:val="Heading3"/>
      </w:pPr>
      <w:r>
        <w:rPr>
          <w:sz w:val="24"/>
        </w:rPr>
        <w:t>Slide 1/22: (Untitled)</w:t>
      </w:r>
    </w:p>
    <w:p>
      <w:r>
        <w:rPr>
          <w:i/>
          <w:color w:val="888888"/>
        </w:rPr>
        <w:t>[Image placeholder]</w:t>
      </w:r>
    </w:p>
    <w:p>
      <w:pPr>
        <w:pStyle w:val="Heading3"/>
      </w:pPr>
      <w:r>
        <w:rPr>
          <w:sz w:val="24"/>
        </w:rPr>
        <w:t>Slide 2/22: (Untitled)</w:t>
      </w:r>
    </w:p>
    <w:p>
      <w:r>
        <w:rPr>
          <w:i/>
          <w:color w:val="888888"/>
        </w:rPr>
        <w:t>[Image placeholder]</w:t>
      </w:r>
    </w:p>
    <w:p>
      <w:pPr>
        <w:pStyle w:val="Heading3"/>
      </w:pPr>
      <w:r>
        <w:rPr>
          <w:sz w:val="24"/>
        </w:rPr>
        <w:t>Slide 3/22: (Untitled)</w:t>
      </w:r>
    </w:p>
    <w:p>
      <w:r>
        <w:rPr>
          <w:i/>
          <w:color w:val="888888"/>
        </w:rPr>
        <w:t>[Image placeholder]</w:t>
      </w:r>
    </w:p>
    <w:p>
      <w:pPr>
        <w:spacing w:before="80" w:after="80"/>
        <w:shd w:fill="E8E8E8" w:val="clear"/>
      </w:pPr>
      <w:r>
        <w:rPr>
          <w:i/>
          <w:color w:val="444444"/>
          <w:sz w:val="18"/>
        </w:rPr>
        <w:t>Speaker Notes: User Story: Policy Details Popup</w:t>
        <w:br/>
        <w:t>Shown here is an example user story requirement requested by a fictional business analyst.</w:t>
      </w:r>
    </w:p>
    <w:p>
      <w:pPr>
        <w:pStyle w:val="Heading3"/>
      </w:pPr>
      <w:r>
        <w:rPr>
          <w:sz w:val="24"/>
        </w:rPr>
        <w:t>Slide 4/22: (Untitled)</w:t>
      </w:r>
    </w:p>
    <w:p>
      <w:r>
        <w:rPr>
          <w:i/>
          <w:color w:val="888888"/>
        </w:rPr>
        <w:t>[Image placeholder]</w:t>
      </w:r>
    </w:p>
    <w:p>
      <w:pPr>
        <w:pStyle w:val="Heading3"/>
      </w:pPr>
      <w:r>
        <w:rPr>
          <w:sz w:val="24"/>
        </w:rPr>
        <w:t>Slide 5/22: (Untitled)</w:t>
      </w:r>
    </w:p>
    <w:p>
      <w:r>
        <w:rPr>
          <w:i/>
          <w:color w:val="888888"/>
        </w:rPr>
        <w:t>[Image placeholder]</w:t>
      </w:r>
    </w:p>
    <w:p>
      <w:pPr>
        <w:spacing w:before="80" w:after="80"/>
        <w:shd w:fill="E8E8E8" w:val="clear"/>
      </w:pPr>
      <w:r>
        <w:rPr>
          <w:i/>
          <w:color w:val="444444"/>
          <w:sz w:val="18"/>
        </w:rPr>
        <w:t>Speaker Notes: Review: Locations</w:t>
        <w:br/>
        <w:t>Note: Both Widget and Location are conceptual representations in this diagram. There are no &lt;Widget /&gt; or &lt;Location elements. Similarly, both Atomic Widget and Container Widget are conceptual representations. There are no &lt;Atomic Widget or &lt;Container Widget /&gt; elements.</w:t>
      </w:r>
    </w:p>
    <w:p>
      <w:pPr>
        <w:pStyle w:val="Heading3"/>
      </w:pPr>
      <w:r>
        <w:rPr>
          <w:sz w:val="24"/>
        </w:rPr>
        <w:t>Slide 6/22: (Untitled)</w:t>
      </w:r>
    </w:p>
    <w:p>
      <w:r>
        <w:rPr>
          <w:i/>
          <w:color w:val="888888"/>
        </w:rPr>
        <w:t>[Image placeholder]</w:t>
      </w:r>
    </w:p>
    <w:p>
      <w:pPr>
        <w:spacing w:before="80" w:after="80"/>
        <w:shd w:fill="E8E8E8" w:val="clear"/>
      </w:pPr>
      <w:r>
        <w:rPr>
          <w:i/>
          <w:color w:val="444444"/>
          <w:sz w:val="18"/>
        </w:rPr>
        <w:t>Speaker Notes: Review: Popups</w:t>
        <w:br/>
        <w:t>Popup screens are designed to mimic the functionality of a true popup (which is an entirely separate window). True popups are difficult to architect because there is no easy way to avoid synchronization errors in which the system tries to update the same object in two separate windows. Popup locations as architected in Guidewire offer virtually the same functionality while avoiding the synchronization and usability issues.</w:t>
      </w:r>
    </w:p>
    <w:p>
      <w:pPr>
        <w:pStyle w:val="Heading3"/>
      </w:pPr>
      <w:r>
        <w:rPr>
          <w:sz w:val="24"/>
        </w:rPr>
        <w:t>Slide 7/22: (Untitled)</w:t>
      </w:r>
    </w:p>
    <w:p>
      <w:r>
        <w:rPr>
          <w:i/>
          <w:color w:val="888888"/>
        </w:rPr>
        <w:t>[Image placeholder]</w:t>
      </w:r>
    </w:p>
    <w:p>
      <w:pPr>
        <w:pStyle w:val="Heading3"/>
      </w:pPr>
      <w:r>
        <w:rPr>
          <w:sz w:val="24"/>
        </w:rPr>
        <w:t>Slide 8/22: (Untitled)</w:t>
      </w:r>
    </w:p>
    <w:p>
      <w:r>
        <w:rPr>
          <w:i/>
          <w:color w:val="888888"/>
        </w:rPr>
        <w:t>[Image placeholder]</w:t>
      </w:r>
    </w:p>
    <w:p>
      <w:pPr>
        <w:spacing w:before="80" w:after="80"/>
        <w:shd w:fill="E8E8E8" w:val="clear"/>
      </w:pPr>
      <w:r>
        <w:rPr>
          <w:i/>
          <w:color w:val="444444"/>
          <w:sz w:val="18"/>
        </w:rPr>
        <w:t>Speaker Notes: Why not use browser popup windows?</w:t>
        <w:br/>
        <w:t>Popup screens are designed to mimic the functionality of a true popup (which is an entirely separate window). True popups are difficult to architect because there is no easy way to avoid synchronization errors in which the system tries to update the same object in two separate windows. Popup locations as architected in Guidewire offer virtually the same functionality while avoiding the synchronization and usability issues.</w:t>
      </w:r>
    </w:p>
    <w:p>
      <w:pPr>
        <w:pStyle w:val="Heading3"/>
      </w:pPr>
      <w:r>
        <w:rPr>
          <w:sz w:val="24"/>
        </w:rPr>
        <w:t>Slide 9/22: (Untitled)</w:t>
      </w:r>
    </w:p>
    <w:p>
      <w:r>
        <w:rPr>
          <w:i/>
          <w:color w:val="888888"/>
        </w:rPr>
        <w:t>[Image placeholder]</w:t>
      </w:r>
    </w:p>
    <w:p>
      <w:pPr>
        <w:spacing w:before="80" w:after="80"/>
        <w:shd w:fill="E8E8E8" w:val="clear"/>
      </w:pPr>
      <w:r>
        <w:rPr>
          <w:i/>
          <w:color w:val="444444"/>
          <w:sz w:val="18"/>
        </w:rPr>
        <w:t>Speaker Notes: Popup use case 1: View and edit existing objects</w:t>
        <w:br/>
        <w:t>A popup can be used to view and edit an object. When it is either not convenient to edit the object in a location or some of the fields a user might wish to view and/or edit are not displayed in that location, you can use a popup. For example, a list view panel will often only display a limited number of object fields. Some of the cell widgets will be configured as navigation cell widgets. The navigation cells widgets will navigate to a popup so that a user can view and/or edit the object fields.</w:t>
        <w:br/>
        <w:br/>
        <w:t>In the slide example, the FlagEntryPopup popup is used to view existing flag entry objects and, if the user has sufficient permissions, edit them. However, it cannot be used to create flag entry objects. Flag entries are created only by the application business logic, not manually by a user.</w:t>
        <w:br/>
        <w:br/>
        <w:t>When a popup edits an existing object, the popup does not return the object to the parent list view. The parent list view panel already knows about the object, and the object already belongs to the array that is being displayed by the list view. Therefore, the popup simply commits and changes to the object in the database. The parent list view panel then refreshes its information from the database.</w:t>
      </w:r>
    </w:p>
    <w:p>
      <w:pPr>
        <w:pStyle w:val="Heading3"/>
      </w:pPr>
      <w:r>
        <w:rPr>
          <w:sz w:val="24"/>
        </w:rPr>
        <w:t>Slide 10/22: (Untitled)</w:t>
      </w:r>
    </w:p>
    <w:p>
      <w:r>
        <w:rPr>
          <w:i/>
          <w:color w:val="888888"/>
        </w:rPr>
        <w:t>[Image placeholder]</w:t>
      </w:r>
    </w:p>
    <w:p>
      <w:pPr>
        <w:spacing w:before="80" w:after="80"/>
        <w:shd w:fill="E8E8E8" w:val="clear"/>
      </w:pPr>
      <w:r>
        <w:rPr>
          <w:i/>
          <w:color w:val="444444"/>
          <w:sz w:val="18"/>
        </w:rPr>
        <w:t>Speaker Notes: Popup use case 2: Create new objects</w:t>
        <w:br/>
        <w:t>You can configure a popup to create new objects. In most cases, the popup can both create new objects and view and edit existing objects.</w:t>
        <w:br/>
        <w:br/>
        <w:t>When a popup creates a new object, the source container (often a list view panel) does not know about the object. The popup must return the object to the source container and the source must commit the object to the appropriate array that is associated with the parent object.</w:t>
      </w:r>
    </w:p>
    <w:p>
      <w:pPr>
        <w:pStyle w:val="Heading3"/>
      </w:pPr>
      <w:r>
        <w:rPr>
          <w:sz w:val="24"/>
        </w:rPr>
        <w:t>Slide 11/22: (Untitled)</w:t>
      </w:r>
    </w:p>
    <w:p>
      <w:r>
        <w:rPr>
          <w:i/>
          <w:color w:val="888888"/>
        </w:rPr>
        <w:t>[Image placeholder]</w:t>
      </w:r>
    </w:p>
    <w:p>
      <w:pPr>
        <w:spacing w:before="80" w:after="80"/>
        <w:shd w:fill="E8E8E8" w:val="clear"/>
      </w:pPr>
      <w:r>
        <w:rPr>
          <w:i/>
          <w:color w:val="444444"/>
          <w:sz w:val="18"/>
        </w:rPr>
        <w:t>Speaker Notes: Popup use case 3: Execute " popped“ searches</w:t>
        <w:br/>
        <w:t>You can configure a popup to search for an existing record. When a record is located in some portion of the user interface where it would not be convenient to include search functionality, you will often see an implementation of a popped search.</w:t>
      </w:r>
    </w:p>
    <w:p>
      <w:pPr>
        <w:pStyle w:val="Heading3"/>
      </w:pPr>
      <w:r>
        <w:rPr>
          <w:sz w:val="24"/>
        </w:rPr>
        <w:t>Slide 12/22: (Untitled)</w:t>
      </w:r>
    </w:p>
    <w:p>
      <w:r>
        <w:rPr>
          <w:i/>
          <w:color w:val="888888"/>
        </w:rPr>
        <w:t>[Image placeholder]</w:t>
      </w:r>
    </w:p>
    <w:p>
      <w:pPr>
        <w:pStyle w:val="Heading3"/>
      </w:pPr>
      <w:r>
        <w:rPr>
          <w:sz w:val="24"/>
        </w:rPr>
        <w:t>Slide 13/22: (Untitled)</w:t>
      </w:r>
    </w:p>
    <w:p>
      <w:pPr>
        <w:pStyle w:val="Heading3"/>
      </w:pPr>
      <w:r>
        <w:rPr>
          <w:sz w:val="24"/>
        </w:rPr>
        <w:t>Slide 14/22: (Untitled)</w:t>
      </w:r>
    </w:p>
    <w:p>
      <w:r>
        <w:rPr>
          <w:i/>
          <w:color w:val="888888"/>
        </w:rPr>
        <w:t>[Image placeholder]</w:t>
      </w:r>
    </w:p>
    <w:p>
      <w:pPr>
        <w:pStyle w:val="Heading3"/>
      </w:pPr>
      <w:r>
        <w:rPr>
          <w:sz w:val="24"/>
        </w:rPr>
        <w:t>Slide 15/22: (Untitled)</w:t>
      </w:r>
    </w:p>
    <w:p>
      <w:r>
        <w:rPr>
          <w:i/>
          <w:color w:val="888888"/>
        </w:rPr>
        <w:t>[Image placeholder]</w:t>
      </w:r>
    </w:p>
    <w:p>
      <w:pPr>
        <w:pStyle w:val="Heading3"/>
      </w:pPr>
      <w:r>
        <w:rPr>
          <w:sz w:val="24"/>
        </w:rPr>
        <w:t>Slide 16/22: (Untitled)</w:t>
      </w:r>
    </w:p>
    <w:p>
      <w:r>
        <w:rPr>
          <w:i/>
          <w:color w:val="888888"/>
        </w:rPr>
        <w:t>[Image placeholder]</w:t>
      </w:r>
    </w:p>
    <w:p>
      <w:pPr>
        <w:pStyle w:val="Heading3"/>
      </w:pPr>
      <w:r>
        <w:rPr>
          <w:sz w:val="24"/>
        </w:rPr>
        <w:t>Slide 17/22: (Untitled)</w:t>
      </w:r>
    </w:p>
    <w:p>
      <w:r>
        <w:rPr>
          <w:i/>
          <w:color w:val="888888"/>
        </w:rPr>
        <w:t>[Image placeholder]</w:t>
      </w:r>
    </w:p>
    <w:p>
      <w:pPr>
        <w:pStyle w:val="Heading3"/>
      </w:pPr>
      <w:r>
        <w:rPr>
          <w:sz w:val="24"/>
        </w:rPr>
        <w:t>Slide 18/22: (Untitled)</w:t>
      </w:r>
    </w:p>
    <w:p>
      <w:r>
        <w:rPr>
          <w:i/>
          <w:color w:val="888888"/>
        </w:rPr>
        <w:t>[Image placeholder]</w:t>
      </w:r>
    </w:p>
    <w:p>
      <w:pPr>
        <w:pStyle w:val="Heading3"/>
      </w:pPr>
      <w:r>
        <w:rPr>
          <w:sz w:val="24"/>
        </w:rPr>
        <w:t>Slide 19/22: (Untitled)</w:t>
      </w:r>
    </w:p>
    <w:p>
      <w:r>
        <w:rPr>
          <w:i/>
          <w:color w:val="888888"/>
        </w:rPr>
        <w:t>[Image placeholder]</w:t>
      </w:r>
    </w:p>
    <w:p>
      <w:pPr>
        <w:pStyle w:val="Heading3"/>
      </w:pPr>
      <w:r>
        <w:rPr>
          <w:sz w:val="24"/>
        </w:rPr>
        <w:t>Slide 20/22: (Untitled)</w:t>
      </w:r>
    </w:p>
    <w:p>
      <w:r>
        <w:rPr>
          <w:i/>
          <w:color w:val="888888"/>
        </w:rPr>
        <w:t>[Image placeholder]</w:t>
      </w:r>
    </w:p>
    <w:p>
      <w:pPr>
        <w:pStyle w:val="Heading3"/>
      </w:pPr>
      <w:r>
        <w:rPr>
          <w:sz w:val="24"/>
        </w:rPr>
        <w:t>Slide 21/22: (Untitled)</w:t>
      </w:r>
    </w:p>
    <w:p>
      <w:r>
        <w:rPr>
          <w:i/>
          <w:color w:val="888888"/>
        </w:rPr>
        <w:t>[Image placeholder]</w:t>
      </w:r>
    </w:p>
    <w:p>
      <w:pPr>
        <w:pStyle w:val="Heading3"/>
      </w:pPr>
      <w:r>
        <w:rPr>
          <w:sz w:val="24"/>
        </w:rPr>
        <w:t>Slide 22/22: (Untitled)</w:t>
      </w:r>
    </w:p>
    <w:p>
      <w:r>
        <w:rPr>
          <w:i/>
          <w:color w:val="888888"/>
        </w:rPr>
        <w:t>[Image placeholder]</w:t>
      </w:r>
    </w:p>
    <w:p>
      <w:pPr>
        <w:pStyle w:val="Heading2"/>
      </w:pPr>
      <w:r>
        <w:t>Assignment</w:t>
      </w:r>
    </w:p>
    <w:p>
      <w:r>
        <w:rPr>
          <w:b/>
          <w:color w:val="008800"/>
        </w:rPr>
        <w:t>[Assignment 16]: Popups</w:t>
      </w:r>
    </w:p>
    <w:p>
      <w:r>
        <w:rPr>
          <w:i/>
          <w:sz w:val="18"/>
        </w:rPr>
        <w:t>File: 16 - Popups.pdf</w:t>
      </w:r>
    </w:p>
    <w:p/>
    <w:p>
      <w:pPr>
        <w:spacing w:before="240"/>
        <w:jc w:val="center"/>
      </w:pPr>
      <w:r>
        <w:rPr>
          <w:i/>
          <w:color w:val="999999"/>
          <w:sz w:val="16"/>
        </w:rPr>
        <w:t>--- End of Lesson 16: Introduction to Popups | 22 slides | 29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