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18: IS_Fund -18 introduction to Input sets</w:t>
      </w:r>
    </w:p>
    <w:p>
      <w:pPr>
        <w:spacing w:after="40"/>
      </w:pPr>
      <w:r>
        <w:rPr>
          <w:i/>
          <w:color w:val="999999"/>
          <w:sz w:val="16"/>
        </w:rPr>
        <w:t>Source: IS_Fund -18 introduction to Input sets.pptx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1/21: (Untitled)</w:t>
      </w:r>
    </w:p>
    <w:p>
      <w:r>
        <w:rPr>
          <w:i/>
          <w:color w:val="888888"/>
        </w:rPr>
        <w:t>[Image placeholder]</w:t>
      </w:r>
    </w:p>
    <w:p>
      <w:pPr>
        <w:pStyle w:val="Heading3"/>
      </w:pPr>
      <w:r>
        <w:rPr>
          <w:sz w:val="24"/>
        </w:rPr>
        <w:t>Slide 2/21: (Untitled)</w:t>
      </w:r>
    </w:p>
    <w:p>
      <w:r>
        <w:rPr>
          <w:i/>
          <w:color w:val="888888"/>
        </w:rPr>
        <w:t>[Image placeholder]</w:t>
      </w:r>
    </w:p>
    <w:p>
      <w:pPr>
        <w:pStyle w:val="Heading3"/>
      </w:pPr>
      <w:r>
        <w:rPr>
          <w:sz w:val="24"/>
        </w:rPr>
        <w:t>Slide 3/21: (Untitled)</w:t>
      </w:r>
    </w:p>
    <w:p>
      <w:r>
        <w:rPr>
          <w:i/>
          <w:color w:val="888888"/>
        </w:rPr>
        <w:t>[Image placeholder]</w:t>
      </w:r>
    </w:p>
    <w:p>
      <w:pPr>
        <w:spacing w:before="80" w:after="80"/>
        <w:shd w:fill="E8E8E8" w:val="clear"/>
      </w:pPr>
      <w:r>
        <w:rPr>
          <w:i/>
          <w:color w:val="444444"/>
          <w:sz w:val="18"/>
        </w:rPr>
        <w:t>Speaker Notes: User Story: Add Basic Info to Person Info card</w:t>
        <w:br/>
        <w:t>The layout should be similar on the two cards. For example, if the order of the widgets changes on the Basics card, then order should also change on the Person Info card. Or, if a new widget is inserted between Public ID and Created On, then that change should be reflected on both cards.</w:t>
      </w:r>
    </w:p>
    <w:p>
      <w:pPr>
        <w:pStyle w:val="Heading3"/>
      </w:pPr>
      <w:r>
        <w:rPr>
          <w:sz w:val="24"/>
        </w:rPr>
        <w:t>Slide 4/21: (Untitled)</w:t>
      </w:r>
    </w:p>
    <w:p>
      <w:r>
        <w:rPr>
          <w:i/>
          <w:color w:val="888888"/>
        </w:rPr>
        <w:t>[Image placeholder]</w:t>
      </w:r>
    </w:p>
    <w:p>
      <w:pPr>
        <w:pStyle w:val="Heading3"/>
      </w:pPr>
      <w:r>
        <w:rPr>
          <w:sz w:val="24"/>
        </w:rPr>
        <w:t>Slide 5/21: (Untitled)</w:t>
      </w:r>
    </w:p>
    <w:p>
      <w:r>
        <w:rPr>
          <w:i/>
          <w:color w:val="888888"/>
        </w:rPr>
        <w:t>[Image placeholder]</w:t>
      </w:r>
    </w:p>
    <w:p>
      <w:pPr>
        <w:spacing w:before="80" w:after="80"/>
        <w:shd w:fill="E8E8E8" w:val="clear"/>
      </w:pPr>
      <w:r>
        <w:rPr>
          <w:i/>
          <w:color w:val="444444"/>
          <w:sz w:val="18"/>
        </w:rPr>
        <w:t>Speaker Notes: Review: Input Sets</w:t>
        <w:br/>
        <w:t>Note: It is important that Input Sets are not referenced by secondary views, don't have a  toolbar directly associated with them, and are embedded into a Detail View Panel.</w:t>
      </w:r>
    </w:p>
    <w:p>
      <w:pPr>
        <w:pStyle w:val="Heading3"/>
      </w:pPr>
      <w:r>
        <w:rPr>
          <w:sz w:val="24"/>
        </w:rPr>
        <w:t>Slide 6/21: (Untitled)</w:t>
      </w:r>
    </w:p>
    <w:p>
      <w:r>
        <w:rPr>
          <w:i/>
          <w:color w:val="888888"/>
        </w:rPr>
        <w:t>[Image placeholder]</w:t>
      </w:r>
    </w:p>
    <w:p>
      <w:pPr>
        <w:spacing w:before="80" w:after="80"/>
        <w:shd w:fill="E8E8E8" w:val="clear"/>
      </w:pPr>
      <w:r>
        <w:rPr>
          <w:i/>
          <w:color w:val="444444"/>
          <w:sz w:val="18"/>
        </w:rPr>
        <w:t xml:space="preserve">Speaker Notes: Widgets for Input Sets </w:t>
        <w:br/>
        <w:t>Unlike detail view panels, input sets cannot contain columns.</w:t>
      </w:r>
    </w:p>
    <w:p>
      <w:pPr>
        <w:pStyle w:val="Heading3"/>
      </w:pPr>
      <w:r>
        <w:rPr>
          <w:sz w:val="24"/>
        </w:rPr>
        <w:t>Slide 7/21: (Untitled)</w:t>
      </w:r>
    </w:p>
    <w:p>
      <w:r>
        <w:rPr>
          <w:i/>
          <w:color w:val="888888"/>
        </w:rPr>
        <w:t>[Image placeholder]</w:t>
      </w:r>
    </w:p>
    <w:p>
      <w:pPr>
        <w:spacing w:before="80" w:after="80"/>
        <w:shd w:fill="E8E8E8" w:val="clear"/>
      </w:pPr>
      <w:r>
        <w:rPr>
          <w:i/>
          <w:color w:val="444444"/>
          <w:sz w:val="18"/>
        </w:rPr>
        <w:t>Speaker Notes: Inline widget and PCF file com parison</w:t>
        <w:br/>
        <w:t>When a container such as an input set is a top-level container, it is reusable. A top-level container is a PCF file. Ifthe container is likely to be needed in multiple places, create a PCF file for the container. An Input Set is PCF file that is ideal for multiple references. Other PCF files can reference the reusable container using a reference widget. InputSetRef widgets are discussed later in this lesson.</w:t>
        <w:br/>
        <w:br/>
        <w:t>When a container such as input set is declared as an inline child container, it is not reusable. Other containers cannot reference an inline container. A InputSet widgetis defined in a Detail View Panel or another Input Set. It is possible to define a variable object for an InputSet widget, but this is uncommon. An InputSet widget inherits the root object associated with its parent.</w:t>
        <w:br/>
        <w:br/>
        <w:t>The two use cases for input sets —reusability and shared logic— are not mutually exclusive. It is possible to have an input set that extends a single visible or editable condition across its contents and gets reused under multiple circumstances. In this regards, input sets often apply visibility or editability logic for a group of widgets.</w:t>
      </w:r>
    </w:p>
    <w:p>
      <w:pPr>
        <w:pStyle w:val="Heading3"/>
      </w:pPr>
      <w:r>
        <w:rPr>
          <w:sz w:val="24"/>
        </w:rPr>
        <w:t>Slide 8/21: (Untitled)</w:t>
      </w:r>
    </w:p>
    <w:p>
      <w:r>
        <w:rPr>
          <w:i/>
          <w:color w:val="888888"/>
        </w:rPr>
        <w:t>[Image placeholder]</w:t>
      </w:r>
    </w:p>
    <w:p>
      <w:pPr>
        <w:spacing w:before="80" w:after="80"/>
        <w:shd w:fill="E8E8E8" w:val="clear"/>
      </w:pPr>
      <w:r>
        <w:rPr>
          <w:i/>
          <w:color w:val="444444"/>
          <w:sz w:val="18"/>
        </w:rPr>
        <w:t>Speaker Notes: Inline widget and PCF file comparison example</w:t>
        <w:br/>
        <w:t>These are two examples of how ABCompanyDetails screen could be implemented, first using an inline and then a reusable  Detail View Panel-</w:t>
        <w:br/>
        <w:br/>
        <w:t>1. First, we create the ABCompanyDetailsScree n.pcf and define a new root object anABContact • ABContact. (Remember, the root object is the input parameter of the</w:t>
        <w:br/>
        <w:t>container.)</w:t>
        <w:br/>
        <w:br/>
        <w:t>2. Next, we add the Card View</w:t>
        <w:br/>
        <w:br/>
        <w:t>3.Then, we add the Detail View Panel</w:t>
        <w:br/>
        <w:br/>
        <w:t>4. And finally, we add the Input Set and the atomic widgets-</w:t>
        <w:br/>
        <w:br/>
        <w:t>Notice that everything is gray because they are defined in the same PCF file. In this example, only the Screen is reusable, everything else is inline. Also notice there i</w:t>
        <w:br/>
        <w:t xml:space="preserve">only one root object and all the inline containers have direct access (they "inherit“  to that root object. </w:t>
        <w:br/>
        <w:br/>
        <w:t>So how is this done with a reusable Input Set?</w:t>
        <w:br/>
        <w:br/>
        <w:t>1. First we create the ABCompanyDetailsScree n.pcf and define the new root object anABContact • ABContact. 2.</w:t>
        <w:br/>
        <w:t>2. Next, we add the Card View</w:t>
        <w:br/>
        <w:t>3. Then, we create a new PCF file: ContactlnsightlnputSet.p cf and define a new root object anABContact  ABContact.</w:t>
        <w:br/>
        <w:t>4. Atomic widgets are added to define the layout.</w:t>
        <w:br/>
        <w:t>5. Finally, the ContactlnsightlnputSet.p cf file must be included in the ABCompanyDetailsScree n.pci To do this, we use the InputSetRef widget.</w:t>
        <w:br/>
        <w:t>The InputSetRef widge specifies the file name that must be included and also passes in the argument(s) to the included container.</w:t>
      </w:r>
    </w:p>
    <w:p>
      <w:pPr>
        <w:pStyle w:val="Heading3"/>
      </w:pPr>
      <w:r>
        <w:rPr>
          <w:sz w:val="24"/>
        </w:rPr>
        <w:t>Slide 9/21: (Untitled)</w:t>
      </w:r>
    </w:p>
    <w:p>
      <w:r>
        <w:rPr>
          <w:i/>
          <w:color w:val="888888"/>
        </w:rPr>
        <w:t>[Image placeholder]</w:t>
      </w:r>
    </w:p>
    <w:p>
      <w:pPr>
        <w:spacing w:before="80" w:after="80"/>
        <w:shd w:fill="E8E8E8" w:val="clear"/>
      </w:pPr>
      <w:r>
        <w:rPr>
          <w:i/>
          <w:color w:val="444444"/>
          <w:sz w:val="18"/>
        </w:rPr>
        <w:t>Speaker Notes: Example: reusability</w:t>
        <w:br/>
        <w:t>Input sets often define a set of widgets that are reused in multiple detail view panels. Reuse of widgets as an input set reduces and simplifies development, configuration, and administration.</w:t>
      </w:r>
    </w:p>
    <w:p>
      <w:pPr>
        <w:pStyle w:val="Heading3"/>
      </w:pPr>
      <w:r>
        <w:rPr>
          <w:sz w:val="24"/>
        </w:rPr>
        <w:t>Slide 10/21: (Untitled)</w:t>
      </w:r>
    </w:p>
    <w:p>
      <w:r>
        <w:rPr>
          <w:i/>
          <w:color w:val="888888"/>
        </w:rPr>
        <w:t>[Image placeholder]</w:t>
      </w:r>
    </w:p>
    <w:p>
      <w:pPr>
        <w:spacing w:before="80" w:after="80"/>
        <w:shd w:fill="E8E8E8" w:val="clear"/>
      </w:pPr>
      <w:r>
        <w:rPr>
          <w:i/>
          <w:color w:val="444444"/>
          <w:sz w:val="18"/>
        </w:rPr>
        <w:t>Speaker Notes: Example: shared logic</w:t>
        <w:br/>
        <w:t>It is also possible to set an editable or visible property for an InputSet widget. The InputSet’s property applies to all the contained widgets within the InputSet. In this manner, you can eliminate the need to configure the individual widget properties for a group of related widgets.</w:t>
      </w:r>
    </w:p>
    <w:p>
      <w:pPr>
        <w:pStyle w:val="Heading3"/>
      </w:pPr>
      <w:r>
        <w:rPr>
          <w:sz w:val="24"/>
        </w:rPr>
        <w:t>Slide 11/21: (Untitled)</w:t>
      </w:r>
    </w:p>
    <w:p>
      <w:r>
        <w:rPr>
          <w:i/>
          <w:color w:val="888888"/>
        </w:rPr>
        <w:t>[Image placeholder]</w:t>
      </w:r>
    </w:p>
    <w:p>
      <w:pPr>
        <w:spacing w:before="80" w:after="80"/>
        <w:shd w:fill="E8E8E8" w:val="clear"/>
      </w:pPr>
      <w:r>
        <w:rPr>
          <w:i/>
          <w:color w:val="444444"/>
          <w:sz w:val="18"/>
        </w:rPr>
        <w:t>Speaker Notes: Example: Partial Page Update</w:t>
        <w:br/>
        <w:t>Partial Page Update will be discussed in a later lesson.</w:t>
      </w:r>
    </w:p>
    <w:p>
      <w:pPr>
        <w:pStyle w:val="Heading3"/>
      </w:pPr>
      <w:r>
        <w:rPr>
          <w:sz w:val="24"/>
        </w:rPr>
        <w:t>Slide 12/21: (Untitled)</w:t>
      </w:r>
    </w:p>
    <w:p>
      <w:r>
        <w:rPr>
          <w:i/>
          <w:color w:val="888888"/>
        </w:rPr>
        <w:t>[Image placeholder]</w:t>
      </w:r>
    </w:p>
    <w:p>
      <w:pPr>
        <w:pStyle w:val="Heading3"/>
      </w:pPr>
      <w:r>
        <w:rPr>
          <w:sz w:val="24"/>
        </w:rPr>
        <w:t>Slide 13/21: (Untitled)</w:t>
      </w:r>
    </w:p>
    <w:p>
      <w:pPr>
        <w:pStyle w:val="Heading3"/>
      </w:pPr>
      <w:r>
        <w:rPr>
          <w:sz w:val="24"/>
        </w:rPr>
        <w:t>Slide 14/21: (Untitled)</w:t>
      </w:r>
    </w:p>
    <w:p>
      <w:r>
        <w:rPr>
          <w:i/>
          <w:color w:val="888888"/>
        </w:rPr>
        <w:t>[Image placeholder]</w:t>
      </w:r>
    </w:p>
    <w:p>
      <w:pPr>
        <w:pStyle w:val="Heading3"/>
      </w:pPr>
      <w:r>
        <w:rPr>
          <w:sz w:val="24"/>
        </w:rPr>
        <w:t>Slide 15/21: (Untitled)</w:t>
      </w:r>
    </w:p>
    <w:p>
      <w:r>
        <w:rPr>
          <w:i/>
          <w:color w:val="888888"/>
        </w:rPr>
        <w:t>[Image placeholder]</w:t>
      </w:r>
    </w:p>
    <w:p>
      <w:pPr>
        <w:pStyle w:val="Heading3"/>
      </w:pPr>
      <w:r>
        <w:rPr>
          <w:sz w:val="24"/>
        </w:rPr>
        <w:t>Slide 16/21: (Untitled)</w:t>
      </w:r>
    </w:p>
    <w:p>
      <w:r>
        <w:rPr>
          <w:i/>
          <w:color w:val="888888"/>
        </w:rPr>
        <w:t>[Image placeholder]</w:t>
      </w:r>
    </w:p>
    <w:p>
      <w:pPr>
        <w:pStyle w:val="Heading3"/>
      </w:pPr>
      <w:r>
        <w:rPr>
          <w:sz w:val="24"/>
        </w:rPr>
        <w:t>Slide 17/21: (Untitled)</w:t>
      </w:r>
    </w:p>
    <w:p>
      <w:r>
        <w:rPr>
          <w:i/>
          <w:color w:val="888888"/>
        </w:rPr>
        <w:t>[Image placeholder]</w:t>
      </w:r>
    </w:p>
    <w:p>
      <w:pPr>
        <w:pStyle w:val="Heading3"/>
      </w:pPr>
      <w:r>
        <w:rPr>
          <w:sz w:val="24"/>
        </w:rPr>
        <w:t>Slide 18/21: (Untitled)</w:t>
      </w:r>
    </w:p>
    <w:p>
      <w:r>
        <w:rPr>
          <w:i/>
          <w:color w:val="888888"/>
        </w:rPr>
        <w:t>[Image placeholder]</w:t>
      </w:r>
    </w:p>
    <w:p>
      <w:pPr>
        <w:pStyle w:val="Heading3"/>
      </w:pPr>
      <w:r>
        <w:rPr>
          <w:sz w:val="24"/>
        </w:rPr>
        <w:t>Slide 19/21: (Untitled)</w:t>
      </w:r>
    </w:p>
    <w:p>
      <w:r>
        <w:rPr>
          <w:i/>
          <w:color w:val="888888"/>
        </w:rPr>
        <w:t>[Image placeholder]</w:t>
      </w:r>
    </w:p>
    <w:p>
      <w:pPr>
        <w:pStyle w:val="Heading3"/>
      </w:pPr>
      <w:r>
        <w:rPr>
          <w:sz w:val="24"/>
        </w:rPr>
        <w:t>Slide 20/21: (Untitled)</w:t>
      </w:r>
    </w:p>
    <w:p>
      <w:r>
        <w:rPr>
          <w:i/>
          <w:color w:val="888888"/>
        </w:rPr>
        <w:t>[Image placeholder]</w:t>
      </w:r>
    </w:p>
    <w:p>
      <w:pPr>
        <w:pStyle w:val="Heading3"/>
      </w:pPr>
      <w:r>
        <w:rPr>
          <w:sz w:val="24"/>
        </w:rPr>
        <w:t>Slide 21/21: (Untitled)</w:t>
      </w:r>
    </w:p>
    <w:p>
      <w:r>
        <w:rPr>
          <w:i/>
          <w:color w:val="888888"/>
        </w:rPr>
        <w:t>[Image placeholder]</w:t>
      </w:r>
    </w:p>
    <w:p>
      <w:pPr>
        <w:pStyle w:val="Heading2"/>
      </w:pPr>
      <w:r>
        <w:t>Assignment</w:t>
      </w:r>
    </w:p>
    <w:p>
      <w:r>
        <w:rPr>
          <w:b/>
          <w:color w:val="008800"/>
        </w:rPr>
        <w:t>[Assignment 18]: Input Sets</w:t>
      </w:r>
    </w:p>
    <w:p>
      <w:r>
        <w:rPr>
          <w:i/>
          <w:sz w:val="18"/>
        </w:rPr>
        <w:t>File: 18 - Input Sets.pdf</w:t>
      </w:r>
    </w:p>
    <w:p/>
    <w:p>
      <w:pPr>
        <w:spacing w:before="240"/>
        <w:jc w:val="center"/>
      </w:pPr>
      <w:r>
        <w:rPr>
          <w:i/>
          <w:color w:val="999999"/>
          <w:sz w:val="16"/>
        </w:rPr>
        <w:t>--- End of Lesson 18: IS_Fund -18 introduction to Input sets | 21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