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20: Introduction to Subtypes</w:t>
      </w:r>
    </w:p>
    <w:p>
      <w:pPr>
        <w:spacing w:after="40"/>
      </w:pPr>
      <w:r>
        <w:rPr>
          <w:i/>
          <w:color w:val="999999"/>
          <w:sz w:val="16"/>
        </w:rPr>
        <w:t>Source: IS_Fund_20_Introduction to Subtypes.pptx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1/24: (Untitled)</w:t>
      </w:r>
    </w:p>
    <w:p>
      <w:r>
        <w:rPr>
          <w:i/>
          <w:color w:val="888888"/>
        </w:rPr>
        <w:t>[Image placeholder]</w:t>
      </w:r>
    </w:p>
    <w:p>
      <w:pPr>
        <w:pStyle w:val="Heading3"/>
      </w:pPr>
      <w:r>
        <w:rPr>
          <w:sz w:val="24"/>
        </w:rPr>
        <w:t>Slide 2/24: (Untitled)</w:t>
      </w:r>
    </w:p>
    <w:p>
      <w:r>
        <w:rPr>
          <w:i/>
          <w:color w:val="888888"/>
        </w:rPr>
        <w:t>[Image placeholder]</w:t>
      </w:r>
    </w:p>
    <w:p>
      <w:pPr>
        <w:pStyle w:val="Heading3"/>
      </w:pPr>
      <w:r>
        <w:rPr>
          <w:sz w:val="24"/>
        </w:rPr>
        <w:t>Slide 3/24: (Untitled)</w:t>
      </w:r>
    </w:p>
    <w:p>
      <w:r>
        <w:rPr>
          <w:i/>
          <w:color w:val="888888"/>
        </w:rPr>
        <w:t>[Image placeholder]</w:t>
      </w:r>
    </w:p>
    <w:p>
      <w:pPr>
        <w:pStyle w:val="Heading3"/>
      </w:pPr>
      <w:r>
        <w:rPr>
          <w:sz w:val="24"/>
        </w:rPr>
        <w:t>Slide 4/24: (Untitled)</w:t>
      </w:r>
    </w:p>
    <w:p>
      <w:r>
        <w:rPr>
          <w:i/>
          <w:color w:val="888888"/>
        </w:rPr>
        <w:t>[Image placeholder]</w:t>
      </w:r>
    </w:p>
    <w:p>
      <w:pPr>
        <w:spacing w:before="80" w:after="80"/>
        <w:shd w:fill="E8E8E8" w:val="clear"/>
      </w:pPr>
      <w:r>
        <w:rPr>
          <w:i/>
          <w:color w:val="444444"/>
          <w:sz w:val="18"/>
        </w:rPr>
        <w:t>Speaker Notes: Subtype entity</w:t>
        <w:br/>
        <w:t>Note: Language primitives also have types. For example, the code "typeof 29" is valid Gosu, and it returns java.lang.lnteger, which is a Type. In other words, Integer is a subtype of Type.</w:t>
      </w:r>
    </w:p>
    <w:p>
      <w:pPr>
        <w:pStyle w:val="Heading3"/>
      </w:pPr>
      <w:r>
        <w:rPr>
          <w:sz w:val="24"/>
        </w:rPr>
        <w:t>Slide 5/24: (Untitled)</w:t>
      </w:r>
    </w:p>
    <w:p>
      <w:r>
        <w:rPr>
          <w:i/>
          <w:color w:val="888888"/>
        </w:rPr>
        <w:t>[Image placeholder]</w:t>
      </w:r>
    </w:p>
    <w:p>
      <w:pPr>
        <w:spacing w:before="80" w:after="80"/>
        <w:shd w:fill="E8E8E8" w:val="clear"/>
      </w:pPr>
      <w:r>
        <w:rPr>
          <w:i/>
          <w:color w:val="444444"/>
          <w:sz w:val="18"/>
        </w:rPr>
        <w:t>Speaker Notes: Example: subtype hierarchy in TrainingApp</w:t>
        <w:br/>
        <w:t>There is one subtype entity excluded for the diagram because it is not directly relevant to the configuration lab work: ABIJserContact- ABIJserContact represents a TrainingApp user and defines a users contact details-</w:t>
        <w:br/>
        <w:br/>
        <w:t>ABContacts are organized into a set of subtypes. The organization of the hierarchy helps to model information about contacts. Information common to all contacts can be established at the ABContact level. It i automatically inherited by all of its subtypes- Information specific to an ABPerson can be defined at the ABPerson level. It is inherited by all of its subtypes, but information on the ABPerson subtype is not available to ABCompany or ABPIace.</w:t>
        <w:br/>
        <w:br/>
        <w:t>In the ABContact hierarchy, an ABPolicyPerson is a person who owns a policy issued by the carrier (such as an individual with a personal auto policy)- An ABPolicyCompany is a company which owns a policy issued by the carrier  (such as a construction company with a workers’ compensation policy)-</w:t>
        <w:br/>
        <w:br/>
        <w:t>Subtyping is also used within the three primary applications. For example:</w:t>
        <w:br/>
        <w:br/>
        <w:t>BillingCenteds Activity, Plan, and Contact entities</w:t>
        <w:br/>
        <w:br/>
        <w:t>ClaimCenteis Transaction, Incident, andContact entities</w:t>
        <w:br/>
        <w:br/>
        <w:t>PolicyCenteds Job and Contact entities</w:t>
      </w:r>
    </w:p>
    <w:p>
      <w:pPr>
        <w:pStyle w:val="Heading3"/>
      </w:pPr>
      <w:r>
        <w:rPr>
          <w:sz w:val="24"/>
        </w:rPr>
        <w:t>Slide 6/24: (Untitled)</w:t>
      </w:r>
    </w:p>
    <w:p>
      <w:r>
        <w:rPr>
          <w:i/>
          <w:color w:val="888888"/>
        </w:rPr>
        <w:t>[Image placeholder]</w:t>
      </w:r>
    </w:p>
    <w:p>
      <w:pPr>
        <w:spacing w:before="80" w:after="80"/>
        <w:shd w:fill="E8E8E8" w:val="clear"/>
      </w:pPr>
      <w:r>
        <w:rPr>
          <w:i/>
          <w:color w:val="444444"/>
          <w:sz w:val="18"/>
        </w:rPr>
        <w:t>Speaker Notes: Additional subtype hierarchy examples</w:t>
        <w:br/>
        <w:t>In ClaimCenter:</w:t>
        <w:br/>
        <w:br/>
        <w:t>A transaction is used to denote the movement of money either into a reserve line or from a reserve line to a payment.</w:t>
        <w:br/>
        <w:br/>
        <w:t xml:space="preserve"> An incident describes a damaged or lost property or coverable.</w:t>
        <w:br/>
        <w:br/>
        <w:t>In PolicyCenter:</w:t>
        <w:br/>
        <w:t>Ajob is used to manage a policy transaction, which either creates or modifies a policy.</w:t>
        <w:br/>
        <w:br/>
        <w:t>A plan detail is used to manage plans, which typically identify how the insured will be billed for or will pay for the policy. This information ispassed to the billing system.</w:t>
        <w:br/>
        <w:br/>
        <w:t>In BillingCenter:</w:t>
        <w:br/>
        <w:br/>
        <w:t>A plan is used to store information about how Invoicing, Commissions, Billing and Delinquency are performed.</w:t>
        <w:br/>
        <w:br/>
        <w:t>A charge pattern is used to define billing behaviors for each kind of charge, such as installment invoicing for Premium charges versus one time billing for Taxes.</w:t>
      </w:r>
    </w:p>
    <w:p>
      <w:pPr>
        <w:pStyle w:val="Heading3"/>
      </w:pPr>
      <w:r>
        <w:rPr>
          <w:sz w:val="24"/>
        </w:rPr>
        <w:t>Slide 7/24: (Untitled)</w:t>
      </w:r>
    </w:p>
    <w:p>
      <w:r>
        <w:rPr>
          <w:i/>
          <w:color w:val="888888"/>
        </w:rPr>
        <w:t>[Image placeholder]</w:t>
      </w:r>
    </w:p>
    <w:p>
      <w:pPr>
        <w:spacing w:before="80" w:after="80"/>
        <w:shd w:fill="E8E8E8" w:val="clear"/>
      </w:pPr>
      <w:r>
        <w:rPr>
          <w:i/>
          <w:color w:val="444444"/>
          <w:sz w:val="18"/>
        </w:rPr>
        <w:t>Speaker Notes: Subtypes in the database</w:t>
        <w:br/>
        <w:t>ABContact is the supertype for the three primary subtypes : ABPerson, ABCompany, and ABPlace. There are a total of 17 subtypes of ABContact for TrainingApp.</w:t>
        <w:br/>
        <w:br/>
        <w:t>For columns not relevant to a given row's subtype, the column contains a null value. For example, Lily Watson is an ABAttorney and therefore the Name column is null value. Similarly, Express Auto, an ABAutoRepairShop, shows null values for FirstName and LastName. TaxlD is a field defined in the ABContact entity- Both Express Auto and Lily Watson have TaxlD encrypted values.</w:t>
        <w:br/>
        <w:br/>
        <w:t>High degrees of subtyping of a single supertype can result in a highly denormalize database table with many columns and large row sizes- For purists seeking high degrees of normalization in database tables, subtyping will appear abhorrent. In Guidewire applications, subtypes represent a trade- off between data model configuration flexibility and database performance. High degrees of normalization require numerous joins when querying- In many ways, it can be easier to add columns to a table rather than create more table objects in a database that requirenumerous JOIn</w:t>
        <w:br/>
        <w:t>In the hypothetical case of normalized entities instead of subtypes, to retrieve all results for all contacts would require numerous union queries.</w:t>
        <w:br/>
        <w:br/>
        <w:t>Not all Guidewire applications rely heavily on subtypes, but ContactManager does, and TrainingApp derives from ContactManager. For many configurators, it may make more sense to avoid subtyping in many cases and simply create separate entities that share common typelists and/or arrays.</w:t>
      </w:r>
    </w:p>
    <w:p>
      <w:pPr>
        <w:pStyle w:val="Heading3"/>
      </w:pPr>
      <w:r>
        <w:rPr>
          <w:sz w:val="24"/>
        </w:rPr>
        <w:t>Slide 8/24: (Untitled)</w:t>
      </w:r>
    </w:p>
    <w:p>
      <w:r>
        <w:rPr>
          <w:i/>
          <w:color w:val="888888"/>
        </w:rPr>
        <w:t>[Image placeholder]</w:t>
      </w:r>
    </w:p>
    <w:p>
      <w:pPr>
        <w:spacing w:before="80" w:after="80"/>
        <w:shd w:fill="E8E8E8" w:val="clear"/>
      </w:pPr>
      <w:r>
        <w:rPr>
          <w:i/>
          <w:color w:val="444444"/>
          <w:sz w:val="18"/>
        </w:rPr>
        <w:t>Speaker Notes: Subtypes in the Data Dictionary</w:t>
        <w:br/>
        <w:t>Subtypes are shown in the Data Dictionary under their Parent entity listing.</w:t>
      </w:r>
    </w:p>
    <w:p>
      <w:pPr>
        <w:pStyle w:val="Heading3"/>
      </w:pPr>
      <w:r>
        <w:rPr>
          <w:sz w:val="24"/>
        </w:rPr>
        <w:t>Slide 9/24: (Untitled)</w:t>
      </w:r>
    </w:p>
    <w:p>
      <w:r>
        <w:rPr>
          <w:i/>
          <w:color w:val="888888"/>
        </w:rPr>
        <w:t>[Image placeholder]</w:t>
      </w:r>
    </w:p>
    <w:p>
      <w:pPr>
        <w:spacing w:before="80" w:after="80"/>
        <w:shd w:fill="E8E8E8" w:val="clear"/>
      </w:pPr>
      <w:r>
        <w:rPr>
          <w:i/>
          <w:color w:val="444444"/>
          <w:sz w:val="18"/>
        </w:rPr>
        <w:t>Speaker Notes: Subtypes and Java classes</w:t>
        <w:br/>
        <w:t>You can extend another class to inherit methods, fields, and properties from a parent class. To do this, use the extends keyword after your class name, followed by the parent class name. For example: class Tree extends Plant O. Your class is a subclass(and subtype) of the parent class. The parent class is a superclass (and supertype) of your class.</w:t>
      </w:r>
    </w:p>
    <w:p>
      <w:pPr>
        <w:pStyle w:val="Heading3"/>
      </w:pPr>
      <w:r>
        <w:rPr>
          <w:sz w:val="24"/>
        </w:rPr>
        <w:t>Slide 10/24: (Untitled)</w:t>
      </w:r>
    </w:p>
    <w:p>
      <w:r>
        <w:rPr>
          <w:i/>
          <w:color w:val="888888"/>
        </w:rPr>
        <w:t>[Image placeholder]</w:t>
      </w:r>
    </w:p>
    <w:p>
      <w:pPr>
        <w:spacing w:before="80" w:after="80"/>
        <w:shd w:fill="E8E8E8" w:val="clear"/>
      </w:pPr>
      <w:r>
        <w:rPr>
          <w:i/>
          <w:color w:val="444444"/>
          <w:sz w:val="18"/>
        </w:rPr>
        <w:t>Speaker Notes: Review: subtypes</w:t>
        <w:br/>
        <w:t>In object-oriented design, a class can be extended by a child class or subclass. Every field and method declared at the parent class is added to the child class automatically. In objected- oriented design, subclass extensions from a superclass is</w:t>
        <w:br/>
        <w:t xml:space="preserve">called inheritance </w:t>
        <w:br/>
        <w:br/>
        <w:t>Guidewire subtypes also make use of inheritance. Every subtype has its own generated Java class. This class inherits all field  and methods of the parent class.</w:t>
        <w:br/>
        <w:br/>
        <w:t>In most cases, a database table corresponds to one data model entity, and therefore one database-backed Gosu class.  One exception to this is where subtypes are concerned. If anentity is subtyped, then the database table corresponds to the top-level data model entity and all of its subtype entities. The table then also corresponds to one top-level database-backed Java class and all of its subclasses.</w:t>
        <w:br/>
        <w:br/>
        <w:t>For example, the ab_abcontact table has column for CanAddEmployees. This field only applies to ABContacts that are of type ABCompany. For ABPersons, that column will have null value.</w:t>
      </w:r>
    </w:p>
    <w:p>
      <w:pPr>
        <w:pStyle w:val="Heading3"/>
      </w:pPr>
      <w:r>
        <w:rPr>
          <w:sz w:val="24"/>
        </w:rPr>
        <w:t>Slide 11/24: (Untitled)</w:t>
      </w:r>
    </w:p>
    <w:p>
      <w:r>
        <w:rPr>
          <w:i/>
          <w:color w:val="888888"/>
        </w:rPr>
        <w:t>[Image placeholder]</w:t>
      </w:r>
    </w:p>
    <w:p>
      <w:pPr>
        <w:spacing w:before="80" w:after="80"/>
        <w:shd w:fill="E8E8E8" w:val="clear"/>
      </w:pPr>
      <w:r>
        <w:rPr>
          <w:i/>
          <w:color w:val="444444"/>
          <w:sz w:val="18"/>
        </w:rPr>
        <w:t>Speaker Notes: Subtype limitations</w:t>
        <w:br/>
        <w:t>Consider carefully before manipulating your contact hierarchy. A new subtype inherits the attributes and matching behavior of its supertype. Create a new subtype only if you need to treat one set of entities differently from another. As much as possible, limit the number of subtypes for representing an entity.</w:t>
        <w:br/>
        <w:br/>
        <w:t>The main reason to limit creation of new subtypes is that the more you specialize the subtype hierarchy, the more restrictive and the less flexible your model becomes. For example, there are subtypes for AutoRepairShop and AutoTowi ngAgcy. If you work with an auto repair shop that also does towing, you cannot create a single contact that does both. However, you can add a service for Towing to an auto repair shop contact</w:t>
        <w:br/>
        <w:br/>
        <w:t>You cannot create a subtype that inherits the fields of both entities. To create the subtype you want,  you can select one entity or the other and subtype and then add the fields that are missing from the other entity because of single inheritance.</w:t>
        <w:br/>
        <w:br/>
        <w:t>Additionally, each time you create a new subtype, you must modify PCF files to support both creating the subtype and searching for it You might also need to make supporting modifications to the screens that reference subtype in terms of modal PCF support.</w:t>
      </w:r>
    </w:p>
    <w:p>
      <w:pPr>
        <w:pStyle w:val="Heading3"/>
      </w:pPr>
      <w:r>
        <w:rPr>
          <w:sz w:val="24"/>
        </w:rPr>
        <w:t>Slide 12/24: (Untitled)</w:t>
      </w:r>
    </w:p>
    <w:p>
      <w:r>
        <w:rPr>
          <w:i/>
          <w:color w:val="888888"/>
        </w:rPr>
        <w:t>[Image placeholder]</w:t>
      </w:r>
    </w:p>
    <w:p>
      <w:pPr>
        <w:spacing w:before="80" w:after="80"/>
        <w:shd w:fill="E8E8E8" w:val="clear"/>
      </w:pPr>
      <w:r>
        <w:rPr>
          <w:i/>
          <w:color w:val="444444"/>
          <w:sz w:val="18"/>
        </w:rPr>
        <w:t>Speaker Notes: Subtype entity extensions</w:t>
        <w:br/>
        <w:t>For more information, see "Defining a Subtype" in the product documentation.</w:t>
      </w:r>
    </w:p>
    <w:p>
      <w:pPr>
        <w:pStyle w:val="Heading3"/>
      </w:pPr>
      <w:r>
        <w:rPr>
          <w:sz w:val="24"/>
        </w:rPr>
        <w:t>Slide 13/24: (Untitled)</w:t>
      </w:r>
    </w:p>
    <w:p>
      <w:r>
        <w:rPr>
          <w:i/>
          <w:color w:val="888888"/>
        </w:rPr>
        <w:t>[Image placeholder]</w:t>
      </w:r>
    </w:p>
    <w:p>
      <w:pPr>
        <w:pStyle w:val="Heading3"/>
      </w:pPr>
      <w:r>
        <w:rPr>
          <w:sz w:val="24"/>
        </w:rPr>
        <w:t>Slide 14/24: (Untitled)</w:t>
      </w:r>
    </w:p>
    <w:p>
      <w:pPr>
        <w:pStyle w:val="Heading3"/>
      </w:pPr>
      <w:r>
        <w:rPr>
          <w:sz w:val="24"/>
        </w:rPr>
        <w:t>Slide 15/24: (Untitled)</w:t>
      </w:r>
    </w:p>
    <w:p>
      <w:r>
        <w:rPr>
          <w:i/>
          <w:color w:val="888888"/>
        </w:rPr>
        <w:t>[Image placeholder]</w:t>
      </w:r>
    </w:p>
    <w:p>
      <w:pPr>
        <w:pStyle w:val="Heading3"/>
      </w:pPr>
      <w:r>
        <w:rPr>
          <w:sz w:val="24"/>
        </w:rPr>
        <w:t>Slide 16/24: (Untitled)</w:t>
      </w:r>
    </w:p>
    <w:p>
      <w:r>
        <w:rPr>
          <w:i/>
          <w:color w:val="888888"/>
        </w:rPr>
        <w:t>[Image placeholder]</w:t>
      </w:r>
    </w:p>
    <w:p>
      <w:pPr>
        <w:pStyle w:val="Heading3"/>
      </w:pPr>
      <w:r>
        <w:rPr>
          <w:sz w:val="24"/>
        </w:rPr>
        <w:t>Slide 17/24: (Untitled)</w:t>
      </w:r>
    </w:p>
    <w:p>
      <w:r>
        <w:rPr>
          <w:i/>
          <w:color w:val="888888"/>
        </w:rPr>
        <w:t>[Image placeholder]</w:t>
      </w:r>
    </w:p>
    <w:p>
      <w:pPr>
        <w:pStyle w:val="Heading3"/>
      </w:pPr>
      <w:r>
        <w:rPr>
          <w:sz w:val="24"/>
        </w:rPr>
        <w:t>Slide 18/24: (Untitled)</w:t>
      </w:r>
    </w:p>
    <w:p>
      <w:r>
        <w:rPr>
          <w:i/>
          <w:color w:val="888888"/>
        </w:rPr>
        <w:t>[Image placeholder]</w:t>
      </w:r>
    </w:p>
    <w:p>
      <w:pPr>
        <w:pStyle w:val="Heading3"/>
      </w:pPr>
      <w:r>
        <w:rPr>
          <w:sz w:val="24"/>
        </w:rPr>
        <w:t>Slide 19/24: (Untitled)</w:t>
      </w:r>
    </w:p>
    <w:p>
      <w:r>
        <w:rPr>
          <w:i/>
          <w:color w:val="888888"/>
        </w:rPr>
        <w:t>[Image placeholder]</w:t>
      </w:r>
    </w:p>
    <w:p>
      <w:pPr>
        <w:pStyle w:val="Heading3"/>
      </w:pPr>
      <w:r>
        <w:rPr>
          <w:sz w:val="24"/>
        </w:rPr>
        <w:t>Slide 20/24: (Untitled)</w:t>
      </w:r>
    </w:p>
    <w:p>
      <w:r>
        <w:rPr>
          <w:i/>
          <w:color w:val="888888"/>
        </w:rPr>
        <w:t>[Image placeholder]</w:t>
      </w:r>
    </w:p>
    <w:p>
      <w:pPr>
        <w:pStyle w:val="Heading3"/>
      </w:pPr>
      <w:r>
        <w:rPr>
          <w:sz w:val="24"/>
        </w:rPr>
        <w:t>Slide 21/24: (Untitled)</w:t>
      </w:r>
    </w:p>
    <w:p>
      <w:r>
        <w:rPr>
          <w:i/>
          <w:color w:val="888888"/>
        </w:rPr>
        <w:t>[Image placeholder]</w:t>
      </w:r>
    </w:p>
    <w:p>
      <w:pPr>
        <w:pStyle w:val="Heading3"/>
      </w:pPr>
      <w:r>
        <w:rPr>
          <w:sz w:val="24"/>
        </w:rPr>
        <w:t>Slide 22/24: (Untitled)</w:t>
      </w:r>
    </w:p>
    <w:p>
      <w:r>
        <w:rPr>
          <w:i/>
          <w:color w:val="888888"/>
        </w:rPr>
        <w:t>[Image placeholder]</w:t>
      </w:r>
    </w:p>
    <w:p>
      <w:pPr>
        <w:pStyle w:val="Heading3"/>
      </w:pPr>
      <w:r>
        <w:rPr>
          <w:sz w:val="24"/>
        </w:rPr>
        <w:t>Slide 23/24: (Untitled)</w:t>
      </w:r>
    </w:p>
    <w:p>
      <w:r>
        <w:rPr>
          <w:i/>
          <w:color w:val="888888"/>
        </w:rPr>
        <w:t>[Image placeholder]</w:t>
      </w:r>
    </w:p>
    <w:p>
      <w:pPr>
        <w:pStyle w:val="Heading3"/>
      </w:pPr>
      <w:r>
        <w:rPr>
          <w:sz w:val="24"/>
        </w:rPr>
        <w:t>Slide 24/24: (Untitled)</w:t>
      </w:r>
    </w:p>
    <w:p>
      <w:r>
        <w:rPr>
          <w:i/>
          <w:color w:val="888888"/>
        </w:rPr>
        <w:t>[Image placeholder]</w:t>
      </w:r>
    </w:p>
    <w:p>
      <w:pPr>
        <w:pStyle w:val="Heading2"/>
      </w:pPr>
      <w:r>
        <w:t>Assignment</w:t>
      </w:r>
    </w:p>
    <w:p>
      <w:r>
        <w:rPr>
          <w:b/>
          <w:color w:val="008800"/>
        </w:rPr>
        <w:t>[Assignment 20]: Subtypes</w:t>
      </w:r>
    </w:p>
    <w:p>
      <w:r>
        <w:rPr>
          <w:i/>
          <w:sz w:val="18"/>
        </w:rPr>
        <w:t>File: 20 - Subtypes.pdf</w:t>
      </w:r>
    </w:p>
    <w:p/>
    <w:p>
      <w:pPr>
        <w:spacing w:before="240"/>
        <w:jc w:val="center"/>
      </w:pPr>
      <w:r>
        <w:rPr>
          <w:i/>
          <w:color w:val="999999"/>
          <w:sz w:val="16"/>
        </w:rPr>
        <w:t>--- End of Lesson 20: Introduction to Subtypes | 24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