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21: Introduction to Modes</w:t>
      </w:r>
    </w:p>
    <w:p>
      <w:pPr>
        <w:spacing w:after="40"/>
      </w:pPr>
      <w:r>
        <w:rPr>
          <w:i/>
          <w:color w:val="999999"/>
          <w:sz w:val="16"/>
        </w:rPr>
        <w:t>Source: IS_Fund_21_Introduction to Modes.pptx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1/24: (Untitled)</w:t>
      </w:r>
    </w:p>
    <w:p>
      <w:r>
        <w:rPr>
          <w:i/>
          <w:color w:val="888888"/>
        </w:rPr>
        <w:t>[Image placeholder]</w:t>
      </w:r>
    </w:p>
    <w:p>
      <w:pPr>
        <w:pStyle w:val="Heading3"/>
      </w:pPr>
      <w:r>
        <w:rPr>
          <w:sz w:val="24"/>
        </w:rPr>
        <w:t>Slide 2/24: (Untitled)</w:t>
      </w:r>
    </w:p>
    <w:p>
      <w:r>
        <w:rPr>
          <w:i/>
          <w:color w:val="888888"/>
        </w:rPr>
        <w:t>[Image placeholder]</w:t>
      </w:r>
    </w:p>
    <w:p>
      <w:pPr>
        <w:pStyle w:val="Heading3"/>
      </w:pPr>
      <w:r>
        <w:rPr>
          <w:sz w:val="24"/>
        </w:rPr>
        <w:t>Slide 3/24: (Untitled)</w:t>
      </w:r>
    </w:p>
    <w:p>
      <w:r>
        <w:rPr>
          <w:i/>
          <w:color w:val="888888"/>
        </w:rPr>
        <w:t>[Image placeholder]</w:t>
      </w:r>
    </w:p>
    <w:p>
      <w:pPr>
        <w:pStyle w:val="Heading3"/>
      </w:pPr>
      <w:r>
        <w:rPr>
          <w:sz w:val="24"/>
        </w:rPr>
        <w:t>Slide 4/24: (Untitled)</w:t>
      </w:r>
    </w:p>
    <w:p>
      <w:r>
        <w:rPr>
          <w:i/>
          <w:color w:val="888888"/>
        </w:rPr>
        <w:t>[Image placeholder]</w:t>
      </w:r>
    </w:p>
    <w:p>
      <w:pPr>
        <w:spacing w:before="80" w:after="80"/>
        <w:shd w:fill="E8E8E8" w:val="clear"/>
      </w:pPr>
      <w:r>
        <w:rPr>
          <w:i/>
          <w:color w:val="444444"/>
          <w:sz w:val="18"/>
        </w:rPr>
        <w:t>Speaker Notes: Widgets that need to vary</w:t>
        <w:br/>
        <w:t>A common scenario in implementations is changing the appearance of a widget in the IJI based on business requirements.</w:t>
      </w:r>
    </w:p>
    <w:p>
      <w:pPr>
        <w:pStyle w:val="Heading3"/>
      </w:pPr>
      <w:r>
        <w:rPr>
          <w:sz w:val="24"/>
        </w:rPr>
        <w:t>Slide 5/24: (Untitled)</w:t>
      </w:r>
    </w:p>
    <w:p>
      <w:r>
        <w:rPr>
          <w:i/>
          <w:color w:val="888888"/>
        </w:rPr>
        <w:t>[Image placeholder]</w:t>
      </w:r>
    </w:p>
    <w:p>
      <w:pPr>
        <w:spacing w:before="80" w:after="80"/>
        <w:shd w:fill="E8E8E8" w:val="clear"/>
      </w:pPr>
      <w:r>
        <w:rPr>
          <w:i/>
          <w:color w:val="444444"/>
          <w:sz w:val="18"/>
        </w:rPr>
        <w:t xml:space="preserve">Speaker Notes: Addressing all scenarios within one PCF </w:t>
        <w:br/>
        <w:t>For user interfaces that need different structures, you could include all the possible structures in a single PCF file. Including all the possible variants in a single PCF file adds to the complexity of the PCF and eliminates the possibility of reusable containers. In addition, much of the conditional logic becomes overly repetitive. Developers of applications prefer working with smaller components: they are easy to create, debug, modify, and maintaim</w:t>
      </w:r>
    </w:p>
    <w:p>
      <w:pPr>
        <w:pStyle w:val="Heading3"/>
      </w:pPr>
      <w:r>
        <w:rPr>
          <w:sz w:val="24"/>
        </w:rPr>
        <w:t>Slide 6/24: (Untitled)</w:t>
      </w:r>
    </w:p>
    <w:p>
      <w:r>
        <w:rPr>
          <w:i/>
          <w:color w:val="888888"/>
        </w:rPr>
        <w:t>[Image placeholder]</w:t>
      </w:r>
    </w:p>
    <w:p>
      <w:pPr>
        <w:spacing w:before="80" w:after="80"/>
        <w:shd w:fill="E8E8E8" w:val="clear"/>
      </w:pPr>
      <w:r>
        <w:rPr>
          <w:i/>
          <w:color w:val="444444"/>
          <w:sz w:val="18"/>
        </w:rPr>
        <w:t>Speaker Notes: Addressing scenarios with multiple PCFs</w:t>
        <w:br/>
        <w:t>When a single PCF cannot easily accommodate a variety of business cases, it is often easier to create a set of PCFs, one for each use case. Each versionneeds a value to identify the use case it is designed for. When the PCF is called, it is called by both its name and its "use case".  Modes exist in the PCF architecture to implement this "use case" versioning.</w:t>
      </w:r>
    </w:p>
    <w:p>
      <w:pPr>
        <w:pStyle w:val="Heading3"/>
      </w:pPr>
      <w:r>
        <w:rPr>
          <w:sz w:val="24"/>
        </w:rPr>
        <w:t>Slide 7/24: (Untitled)</w:t>
      </w:r>
    </w:p>
    <w:p>
      <w:r>
        <w:rPr>
          <w:i/>
          <w:color w:val="888888"/>
        </w:rPr>
        <w:t>[Image placeholder]</w:t>
      </w:r>
    </w:p>
    <w:p>
      <w:pPr>
        <w:spacing w:before="80" w:after="80"/>
        <w:shd w:fill="E8E8E8" w:val="clear"/>
      </w:pPr>
      <w:r>
        <w:rPr>
          <w:i/>
          <w:color w:val="444444"/>
          <w:sz w:val="18"/>
        </w:rPr>
        <w:t>Speaker Notes: Modes</w:t>
        <w:br/>
        <w:t>There is no requirement for modal PCFs to come in sets. It is possible to create a single PCF with a mode that had no counterparts. This sort of PCF would behave in exactly the same way as a PCF that didn’t use modes, which would mean there was no benefit to having made the PCF modal. Therefore, in practice, modal PCFs always come in sets of PCFs.</w:t>
        <w:br/>
        <w:br/>
        <w:t>A modal PCF can have multiple modes. In the slide example, the first SubtypelnfolnputSet is used for contacts of subtype ABPerson or ABPolicyPerson.</w:t>
      </w:r>
    </w:p>
    <w:p>
      <w:pPr>
        <w:pStyle w:val="Heading3"/>
      </w:pPr>
      <w:r>
        <w:rPr>
          <w:sz w:val="24"/>
        </w:rPr>
        <w:t>Slide 8/24: (Untitled)</w:t>
      </w:r>
    </w:p>
    <w:p>
      <w:r>
        <w:rPr>
          <w:i/>
          <w:color w:val="888888"/>
        </w:rPr>
        <w:t>[Image placeholder]</w:t>
      </w:r>
    </w:p>
    <w:p>
      <w:pPr>
        <w:spacing w:before="80" w:after="80"/>
        <w:shd w:fill="E8E8E8" w:val="clear"/>
      </w:pPr>
      <w:r>
        <w:rPr>
          <w:i/>
          <w:color w:val="444444"/>
          <w:sz w:val="18"/>
        </w:rPr>
        <w:t>Speaker Notes: Default mode</w:t>
        <w:br/>
        <w:t>In the slide example, the default PCF is blank. If a SubtypelnfolnputSet is referenced but the mode it references cannot be found (such as, for example, a reference to SubtypelnfolnputSet with the mode ABPropertylnspector), then the default PCF is used.</w:t>
        <w:br/>
        <w:br/>
        <w:t>In some situations, the "default“ mode is assigned to a PCF that has other non-default modes. For example, since all person contacts are either of type ABPerson or one of its children, it would be possible to have assigned ABPerson,  ABPolicyPerson, and default to the first SubtypelnfolnputSet-</w:t>
      </w:r>
    </w:p>
    <w:p>
      <w:pPr>
        <w:pStyle w:val="Heading3"/>
      </w:pPr>
      <w:r>
        <w:rPr>
          <w:sz w:val="24"/>
        </w:rPr>
        <w:t>Slide 9/24: (Untitled)</w:t>
      </w:r>
    </w:p>
    <w:p>
      <w:r>
        <w:rPr>
          <w:i/>
          <w:color w:val="888888"/>
        </w:rPr>
        <w:t>[Image placeholder]</w:t>
      </w:r>
    </w:p>
    <w:p>
      <w:pPr>
        <w:spacing w:before="80" w:after="80"/>
        <w:shd w:fill="E8E8E8" w:val="clear"/>
      </w:pPr>
      <w:r>
        <w:rPr>
          <w:i/>
          <w:color w:val="444444"/>
          <w:sz w:val="18"/>
        </w:rPr>
        <w:t>Speaker Notes: Common uses of modal PCFs</w:t>
        <w:br/>
        <w:t>In PolicyCenter, modes are also used to accommodate variations in policy transaction type (submission, change, renewal, cancelation, and so on).</w:t>
      </w:r>
    </w:p>
    <w:p>
      <w:pPr>
        <w:pStyle w:val="Heading3"/>
      </w:pPr>
      <w:r>
        <w:rPr>
          <w:sz w:val="24"/>
        </w:rPr>
        <w:t>Slide 10/24: (Untitled)</w:t>
      </w:r>
    </w:p>
    <w:p>
      <w:r>
        <w:rPr>
          <w:i/>
          <w:color w:val="888888"/>
        </w:rPr>
        <w:t>[Image placeholder]</w:t>
      </w:r>
    </w:p>
    <w:p>
      <w:pPr>
        <w:spacing w:before="80" w:after="80"/>
        <w:shd w:fill="E8E8E8" w:val="clear"/>
      </w:pPr>
      <w:r>
        <w:rPr>
          <w:i/>
          <w:color w:val="444444"/>
          <w:sz w:val="18"/>
        </w:rPr>
        <w:t>Speaker Notes: Modes and subtypes</w:t>
        <w:br/>
        <w:t>In the slide example, the first modal PCF is the default mode, and will be used for any contact whose type is not ABAttorney,  ABPerson, or ABPolicyPerson.</w:t>
        <w:br/>
        <w:br/>
        <w:t>The second modal PCF has one mode, ABAttorney, and will be used for any contact whose type is ABAttorney.</w:t>
        <w:br/>
        <w:br/>
        <w:t>The third modal PCF has tvo modes, ABPerson and ABPolicyPerson, and will be used for any ABPerson or ABPolicyPerson contact.</w:t>
        <w:br/>
        <w:br/>
        <w:t>For the diagram shown, the default mode will be used for contacts of type ZABPersonVendor" and ZABDoctorn.</w:t>
        <w:br/>
        <w:br/>
        <w:t>In the base application, there is actually an ABPersonVendor subtype in between the ABPerson level and the ABAttorney or ABDoctor level.</w:t>
      </w:r>
    </w:p>
    <w:p>
      <w:pPr>
        <w:pStyle w:val="Heading3"/>
      </w:pPr>
      <w:r>
        <w:rPr>
          <w:sz w:val="24"/>
        </w:rPr>
        <w:t>Slide 11/24: (Untitled)</w:t>
      </w:r>
    </w:p>
    <w:p>
      <w:r>
        <w:rPr>
          <w:i/>
          <w:color w:val="888888"/>
        </w:rPr>
        <w:t>[Image placeholder]</w:t>
      </w:r>
    </w:p>
    <w:p>
      <w:pPr>
        <w:pStyle w:val="Heading3"/>
      </w:pPr>
      <w:r>
        <w:rPr>
          <w:sz w:val="24"/>
        </w:rPr>
        <w:t>Slide 12/24: (Untitled)</w:t>
      </w:r>
    </w:p>
    <w:p>
      <w:pPr>
        <w:pStyle w:val="Heading3"/>
      </w:pPr>
      <w:r>
        <w:rPr>
          <w:sz w:val="24"/>
        </w:rPr>
        <w:t>Slide 13/24: (Untitled)</w:t>
      </w:r>
    </w:p>
    <w:p>
      <w:r>
        <w:rPr>
          <w:i/>
          <w:color w:val="888888"/>
        </w:rPr>
        <w:t>[Image placeholder]</w:t>
      </w:r>
    </w:p>
    <w:p>
      <w:pPr>
        <w:pStyle w:val="Heading3"/>
      </w:pPr>
      <w:r>
        <w:rPr>
          <w:sz w:val="24"/>
        </w:rPr>
        <w:t>Slide 14/24: (Untitled)</w:t>
      </w:r>
    </w:p>
    <w:p>
      <w:r>
        <w:rPr>
          <w:i/>
          <w:color w:val="888888"/>
        </w:rPr>
        <w:t>[Image placeholder]</w:t>
      </w:r>
    </w:p>
    <w:p>
      <w:pPr>
        <w:pStyle w:val="Heading3"/>
      </w:pPr>
      <w:r>
        <w:rPr>
          <w:sz w:val="24"/>
        </w:rPr>
        <w:t>Slide 15/24: (Untitled)</w:t>
      </w:r>
    </w:p>
    <w:p>
      <w:r>
        <w:rPr>
          <w:i/>
          <w:color w:val="888888"/>
        </w:rPr>
        <w:t>[Image placeholder]</w:t>
      </w:r>
    </w:p>
    <w:p>
      <w:pPr>
        <w:pStyle w:val="Heading3"/>
      </w:pPr>
      <w:r>
        <w:rPr>
          <w:sz w:val="24"/>
        </w:rPr>
        <w:t>Slide 16/24: (Untitled)</w:t>
      </w:r>
    </w:p>
    <w:p>
      <w:r>
        <w:rPr>
          <w:i/>
          <w:color w:val="888888"/>
        </w:rPr>
        <w:t>[Image placeholder]</w:t>
      </w:r>
    </w:p>
    <w:p>
      <w:pPr>
        <w:pStyle w:val="Heading3"/>
      </w:pPr>
      <w:r>
        <w:rPr>
          <w:sz w:val="24"/>
        </w:rPr>
        <w:t>Slide 17/24: (Untitled)</w:t>
      </w:r>
    </w:p>
    <w:p>
      <w:r>
        <w:rPr>
          <w:i/>
          <w:color w:val="888888"/>
        </w:rPr>
        <w:t>[Image placeholder]</w:t>
      </w:r>
    </w:p>
    <w:p>
      <w:pPr>
        <w:pStyle w:val="Heading3"/>
      </w:pPr>
      <w:r>
        <w:rPr>
          <w:sz w:val="24"/>
        </w:rPr>
        <w:t>Slide 18/24: (Untitled)</w:t>
      </w:r>
    </w:p>
    <w:p>
      <w:r>
        <w:rPr>
          <w:i/>
          <w:color w:val="888888"/>
        </w:rPr>
        <w:t>[Image placeholder]</w:t>
      </w:r>
    </w:p>
    <w:p>
      <w:pPr>
        <w:pStyle w:val="Heading3"/>
      </w:pPr>
      <w:r>
        <w:rPr>
          <w:sz w:val="24"/>
        </w:rPr>
        <w:t>Slide 19/24: (Untitled)</w:t>
      </w:r>
    </w:p>
    <w:p>
      <w:r>
        <w:rPr>
          <w:i/>
          <w:color w:val="888888"/>
        </w:rPr>
        <w:t>[Image placeholder]</w:t>
      </w:r>
    </w:p>
    <w:p>
      <w:pPr>
        <w:pStyle w:val="Heading3"/>
      </w:pPr>
      <w:r>
        <w:rPr>
          <w:sz w:val="24"/>
        </w:rPr>
        <w:t>Slide 20/24: (Untitled)</w:t>
      </w:r>
    </w:p>
    <w:p>
      <w:r>
        <w:rPr>
          <w:i/>
          <w:color w:val="888888"/>
        </w:rPr>
        <w:t>[Image placeholder]</w:t>
      </w:r>
    </w:p>
    <w:p>
      <w:pPr>
        <w:pStyle w:val="Heading3"/>
      </w:pPr>
      <w:r>
        <w:rPr>
          <w:sz w:val="24"/>
        </w:rPr>
        <w:t>Slide 21/24: (Untitled)</w:t>
      </w:r>
    </w:p>
    <w:p>
      <w:r>
        <w:rPr>
          <w:i/>
          <w:color w:val="888888"/>
        </w:rPr>
        <w:t>[Image placeholder]</w:t>
      </w:r>
    </w:p>
    <w:p>
      <w:pPr>
        <w:pStyle w:val="Heading3"/>
      </w:pPr>
      <w:r>
        <w:rPr>
          <w:sz w:val="24"/>
        </w:rPr>
        <w:t>Slide 22/24: (Untitled)</w:t>
      </w:r>
    </w:p>
    <w:p>
      <w:r>
        <w:rPr>
          <w:i/>
          <w:color w:val="888888"/>
        </w:rPr>
        <w:t>[Image placeholder]</w:t>
      </w:r>
    </w:p>
    <w:p>
      <w:pPr>
        <w:pStyle w:val="Heading3"/>
      </w:pPr>
      <w:r>
        <w:rPr>
          <w:sz w:val="24"/>
        </w:rPr>
        <w:t>Slide 23/24: (Untitled)</w:t>
      </w:r>
    </w:p>
    <w:p>
      <w:r>
        <w:rPr>
          <w:i/>
          <w:color w:val="888888"/>
        </w:rPr>
        <w:t>[Image placeholder]</w:t>
      </w:r>
    </w:p>
    <w:p>
      <w:pPr>
        <w:pStyle w:val="Heading3"/>
      </w:pPr>
      <w:r>
        <w:rPr>
          <w:sz w:val="24"/>
        </w:rPr>
        <w:t>Slide 24/24: (Untitled)</w:t>
      </w:r>
    </w:p>
    <w:p>
      <w:r>
        <w:rPr>
          <w:i/>
          <w:color w:val="888888"/>
        </w:rPr>
        <w:t>[Image placeholder]</w:t>
      </w:r>
    </w:p>
    <w:p>
      <w:pPr>
        <w:pStyle w:val="Heading2"/>
      </w:pPr>
      <w:r>
        <w:t>Assignment</w:t>
      </w:r>
    </w:p>
    <w:p>
      <w:r>
        <w:rPr>
          <w:b/>
          <w:color w:val="008800"/>
        </w:rPr>
        <w:t>[Assignment 21]: Modes</w:t>
      </w:r>
    </w:p>
    <w:p>
      <w:r>
        <w:rPr>
          <w:i/>
          <w:sz w:val="18"/>
        </w:rPr>
        <w:t>File: 21 - Modes.pdf</w:t>
      </w:r>
    </w:p>
    <w:p/>
    <w:p>
      <w:pPr>
        <w:spacing w:before="240"/>
        <w:jc w:val="center"/>
      </w:pPr>
      <w:r>
        <w:rPr>
          <w:i/>
          <w:color w:val="999999"/>
          <w:sz w:val="16"/>
        </w:rPr>
        <w:t>--- End of Lesson 21: Introduction to Modes | 24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