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08: policy center configuration</w:t>
      </w:r>
    </w:p>
    <w:p>
      <w:pPr>
        <w:pStyle w:val="Heading2"/>
      </w:pPr>
      <w:r>
        <w:rPr>
          <w:color w:val="333333"/>
          <w:sz w:val="28"/>
        </w:rPr>
        <w:t>Lesson 6: Raising Underwriting Issues</w:t>
      </w:r>
    </w:p>
    <w:p>
      <w:pPr>
        <w:spacing w:after="40"/>
      </w:pPr>
      <w:r>
        <w:rPr>
          <w:i/>
          <w:color w:val="999999"/>
          <w:sz w:val="16"/>
        </w:rPr>
        <w:t>Source: PP_06_Raising Underwriting Issues.pptx</w:t>
      </w:r>
    </w:p>
    <w:p>
      <w:pPr>
        <w:pStyle w:val="Heading3"/>
      </w:pPr>
      <w:r>
        <w:t>Video References</w:t>
      </w:r>
    </w:p>
    <w:p>
      <w:pPr>
        <w:pStyle w:val="ListNumber"/>
      </w:pPr>
      <w:r>
        <w:rPr>
          <w:color w:val="0066CC"/>
          <w:sz w:val="20"/>
        </w:rPr>
        <w:t>[Video 1: PP_02_01.mp4]</w:t>
      </w:r>
    </w:p>
    <w:p>
      <w:pPr>
        <w:pStyle w:val="ListNumber"/>
      </w:pPr>
      <w:r>
        <w:rPr>
          <w:color w:val="0066CC"/>
          <w:sz w:val="20"/>
        </w:rPr>
        <w:t>[Video 2: PP_02_02.mp4]</w:t>
      </w:r>
    </w:p>
    <w:p>
      <w:pPr>
        <w:pStyle w:val="ListNumber"/>
      </w:pPr>
      <w:r>
        <w:rPr>
          <w:color w:val="0066CC"/>
          <w:sz w:val="20"/>
        </w:rPr>
        <w:t>[Video 3: PP_03_01.mp4]</w:t>
      </w:r>
    </w:p>
    <w:p>
      <w:pPr>
        <w:pStyle w:val="ListNumber"/>
      </w:pPr>
      <w:r>
        <w:rPr>
          <w:color w:val="0066CC"/>
          <w:sz w:val="20"/>
        </w:rPr>
        <w:t>[Video 4: PP_03_02.mp4]</w:t>
      </w:r>
    </w:p>
    <w:p>
      <w:pPr>
        <w:pStyle w:val="ListNumber"/>
      </w:pPr>
      <w:r>
        <w:rPr>
          <w:color w:val="0066CC"/>
          <w:sz w:val="20"/>
        </w:rPr>
        <w:t>[Video 5: PP_04_01.mp4]</w:t>
      </w:r>
    </w:p>
    <w:p>
      <w:pPr>
        <w:pStyle w:val="ListNumber"/>
      </w:pPr>
      <w:r>
        <w:rPr>
          <w:color w:val="0066CC"/>
          <w:sz w:val="20"/>
        </w:rPr>
        <w:t>[Video 6: PP_04_02.mp4]</w:t>
      </w:r>
    </w:p>
    <w:p>
      <w:pPr>
        <w:pStyle w:val="ListNumber"/>
      </w:pPr>
      <w:r>
        <w:rPr>
          <w:color w:val="0066CC"/>
          <w:sz w:val="20"/>
        </w:rPr>
        <w:t>[Video 7: PP_05_01.mp4]</w:t>
      </w:r>
    </w:p>
    <w:p>
      <w:pPr>
        <w:pStyle w:val="ListNumber"/>
      </w:pPr>
      <w:r>
        <w:rPr>
          <w:color w:val="0066CC"/>
          <w:sz w:val="20"/>
        </w:rPr>
        <w:t>[Video 8: PP_06_01.mp4]</w:t>
      </w:r>
    </w:p>
    <w:p>
      <w:pPr>
        <w:pStyle w:val="ListNumber"/>
      </w:pPr>
      <w:r>
        <w:rPr>
          <w:color w:val="0066CC"/>
          <w:sz w:val="20"/>
        </w:rPr>
        <w:t>[Video 9: PP_06_02.mp4]</w:t>
      </w:r>
    </w:p>
    <w:p>
      <w:pPr>
        <w:pStyle w:val="ListNumber"/>
      </w:pPr>
      <w:r>
        <w:rPr>
          <w:color w:val="0066CC"/>
          <w:sz w:val="20"/>
        </w:rPr>
        <w:t>[Video 10: PP_06_03.mp4]</w:t>
      </w:r>
    </w:p>
    <w:p>
      <w:pPr>
        <w:pStyle w:val="ListNumber"/>
      </w:pPr>
      <w:r>
        <w:rPr>
          <w:color w:val="0066CC"/>
          <w:sz w:val="20"/>
        </w:rPr>
        <w:t>[Video 11: PP_06_04.mp4]</w:t>
      </w:r>
    </w:p>
    <w:p>
      <w:pPr>
        <w:pStyle w:val="ListNumber"/>
      </w:pPr>
      <w:r>
        <w:rPr>
          <w:color w:val="0066CC"/>
          <w:sz w:val="20"/>
        </w:rPr>
        <w:t>[Video 12: PP_07_01.mp4]</w:t>
      </w:r>
    </w:p>
    <w:p>
      <w:pPr>
        <w:pStyle w:val="ListNumber"/>
      </w:pPr>
      <w:r>
        <w:rPr>
          <w:color w:val="0066CC"/>
          <w:sz w:val="20"/>
        </w:rPr>
        <w:t>[Video 13: PP_07_02.mp4]</w:t>
      </w:r>
    </w:p>
    <w:p>
      <w:pPr>
        <w:pStyle w:val="ListNumber"/>
      </w:pPr>
      <w:r>
        <w:rPr>
          <w:color w:val="0066CC"/>
          <w:sz w:val="20"/>
        </w:rPr>
        <w:t>[Video 14: PP_08_01.mp4]</w:t>
      </w:r>
    </w:p>
    <w:p>
      <w:pPr>
        <w:pStyle w:val="ListNumber"/>
      </w:pPr>
      <w:r>
        <w:rPr>
          <w:color w:val="0066CC"/>
          <w:sz w:val="20"/>
        </w:rPr>
        <w:t>[Video 15: PP_08_02.mp4]</w:t>
      </w:r>
    </w:p>
    <w:p>
      <w:pPr>
        <w:pStyle w:val="ListNumber"/>
      </w:pPr>
      <w:r>
        <w:rPr>
          <w:color w:val="0066CC"/>
          <w:sz w:val="20"/>
        </w:rPr>
        <w:t>[Video 16: PP_08_03.mp4]</w:t>
      </w:r>
    </w:p>
    <w:p>
      <w:pPr>
        <w:pStyle w:val="ListNumber"/>
      </w:pPr>
      <w:r>
        <w:rPr>
          <w:color w:val="0066CC"/>
          <w:sz w:val="20"/>
        </w:rPr>
        <w:t>[Video 17: PP_08_04.mp4]</w:t>
      </w:r>
    </w:p>
    <w:p>
      <w:pPr>
        <w:pStyle w:val="ListNumber"/>
      </w:pPr>
      <w:r>
        <w:rPr>
          <w:color w:val="0066CC"/>
          <w:sz w:val="20"/>
        </w:rPr>
        <w:t>[Video 18: PP_09_01.mp4]</w:t>
      </w:r>
    </w:p>
    <w:p>
      <w:pPr>
        <w:pStyle w:val="ListNumber"/>
      </w:pPr>
      <w:r>
        <w:rPr>
          <w:color w:val="0066CC"/>
          <w:sz w:val="20"/>
        </w:rPr>
        <w:t>[Video 19: PP_09_02.mp4]</w:t>
      </w:r>
    </w:p>
    <w:p>
      <w:pPr>
        <w:pStyle w:val="ListNumber"/>
      </w:pPr>
      <w:r>
        <w:rPr>
          <w:color w:val="0066CC"/>
          <w:sz w:val="20"/>
        </w:rPr>
        <w:t>[Video 20: PP_10_01.mp4]</w:t>
      </w:r>
    </w:p>
    <w:p>
      <w:pPr>
        <w:pStyle w:val="ListNumber"/>
      </w:pPr>
      <w:r>
        <w:rPr>
          <w:color w:val="0066CC"/>
          <w:sz w:val="20"/>
        </w:rPr>
        <w:t>[Video 21: PP_10_02.mp4]</w:t>
      </w:r>
    </w:p>
    <w:p>
      <w:pPr>
        <w:pStyle w:val="ListNumber"/>
      </w:pPr>
      <w:r>
        <w:rPr>
          <w:color w:val="0066CC"/>
          <w:sz w:val="20"/>
        </w:rPr>
        <w:t>[Video 22: PP_10_03.mp4]</w:t>
      </w:r>
    </w:p>
    <w:p>
      <w:pPr>
        <w:pStyle w:val="ListNumber"/>
      </w:pPr>
      <w:r>
        <w:rPr>
          <w:color w:val="0066CC"/>
          <w:sz w:val="20"/>
        </w:rPr>
        <w:t>[Video 23: PP_11_01.mp4]</w:t>
      </w:r>
    </w:p>
    <w:p>
      <w:pPr>
        <w:pStyle w:val="ListNumber"/>
      </w:pPr>
      <w:r>
        <w:rPr>
          <w:color w:val="0066CC"/>
          <w:sz w:val="20"/>
        </w:rPr>
        <w:t>[Video 24: PP_11_02.mp4]</w:t>
      </w:r>
    </w:p>
    <w:p>
      <w:pPr>
        <w:pStyle w:val="ListNumber"/>
      </w:pPr>
      <w:r>
        <w:rPr>
          <w:color w:val="0066CC"/>
          <w:sz w:val="20"/>
        </w:rPr>
        <w:t>[Video 25: PP_12_01.mp4]</w:t>
      </w:r>
    </w:p>
    <w:p>
      <w:pPr>
        <w:pStyle w:val="ListNumber"/>
      </w:pPr>
      <w:r>
        <w:rPr>
          <w:color w:val="0066CC"/>
          <w:sz w:val="20"/>
        </w:rPr>
        <w:t>[Video 26: PP_12_02.mp4]</w:t>
      </w:r>
    </w:p>
    <w:p>
      <w:pPr>
        <w:pStyle w:val="ListNumber"/>
      </w:pPr>
      <w:r>
        <w:rPr>
          <w:color w:val="0066CC"/>
          <w:sz w:val="20"/>
        </w:rPr>
        <w:t>[Video 27: PP_13_01.mp4]</w:t>
      </w:r>
    </w:p>
    <w:p/>
    <w:p>
      <w:pPr>
        <w:pStyle w:val="Heading2"/>
      </w:pPr>
      <w:r>
        <w:t>Slide Content</w:t>
      </w:r>
    </w:p>
    <w:p>
      <w:pPr>
        <w:pStyle w:val="Heading3"/>
      </w:pPr>
      <w:r>
        <w:rPr>
          <w:sz w:val="24"/>
        </w:rPr>
        <w:t>Slide 1/40: (Untitled)</w:t>
      </w:r>
    </w:p>
    <w:p>
      <w:r>
        <w:rPr>
          <w:i/>
          <w:color w:val="888888"/>
        </w:rPr>
        <w:t>[Image placeholder]</w:t>
      </w:r>
    </w:p>
    <w:p>
      <w:pPr>
        <w:pStyle w:val="Heading3"/>
      </w:pPr>
      <w:r>
        <w:rPr>
          <w:sz w:val="24"/>
        </w:rPr>
        <w:t>Slide 2/40: (Untitled)</w:t>
      </w:r>
    </w:p>
    <w:p>
      <w:r>
        <w:rPr>
          <w:i/>
          <w:color w:val="888888"/>
        </w:rPr>
        <w:t>[Image placeholder]</w:t>
      </w:r>
    </w:p>
    <w:p>
      <w:pPr>
        <w:pStyle w:val="Heading3"/>
      </w:pPr>
      <w:r>
        <w:rPr>
          <w:sz w:val="24"/>
        </w:rPr>
        <w:t>Slide 3/40: (Untitled)</w:t>
      </w:r>
    </w:p>
    <w:p>
      <w:r>
        <w:rPr>
          <w:i/>
          <w:color w:val="888888"/>
        </w:rPr>
        <w:t>[Image placeholder]</w:t>
      </w:r>
    </w:p>
    <w:p>
      <w:pPr>
        <w:spacing w:before="80" w:after="80"/>
        <w:shd w:fill="E8E8E8" w:val="clear"/>
      </w:pPr>
      <w:r>
        <w:rPr>
          <w:i/>
          <w:color w:val="444444"/>
          <w:sz w:val="18"/>
        </w:rPr>
        <w:t>Speaker Notes: Learner story</w:t>
        <w:br/>
        <w:t>The first section gives an overview of the underwriting process and the key concepts of underwriting authority. Users can modify the underwriting infrastructure such as they can define underwriting issues or determine the types of underwriting issues that a user can approve. The underwriting rules specify things such as the state or jurisdiction of coverage and minimum or maximum amounts. For example, when an agent creates a new policy,  certain terms of that policy may need to be reviewed by underwriting before the policy can be bound. The underwriting rules of the carrier require that an underwriter approve any vehicle valued at over SIOO,OOO. If an agent adds a car valued at $200,000 in a personal auto policy, an underwriter must give approval for that car. PolicyCenter creates an issue for the undewriter which prevents the agent from binding the policy until the underwriter approves the issue.</w:t>
      </w:r>
    </w:p>
    <w:p>
      <w:pPr>
        <w:pStyle w:val="Heading3"/>
      </w:pPr>
      <w:r>
        <w:rPr>
          <w:sz w:val="24"/>
        </w:rPr>
        <w:t>Slide 4/40: (Untitled)</w:t>
      </w:r>
    </w:p>
    <w:p>
      <w:r>
        <w:rPr>
          <w:i/>
          <w:color w:val="888888"/>
        </w:rPr>
        <w:t>[Image placeholder]</w:t>
      </w:r>
    </w:p>
    <w:p>
      <w:pPr>
        <w:spacing w:before="80" w:after="80"/>
        <w:shd w:fill="E8E8E8" w:val="clear"/>
      </w:pPr>
      <w:r>
        <w:rPr>
          <w:i/>
          <w:color w:val="444444"/>
          <w:sz w:val="18"/>
        </w:rPr>
        <w:t>Speaker Notes: Review: Underwriting process</w:t>
        <w:br/>
        <w:t>An agent or a producer is creating a policy using the submission transaction. If the policy has an issue that blocks quoting, the agent cannot view the quote until the underwriter approves the issue and releases the policy back to the agent.  Once the underwriter approves the blocking issue then the agent can view the quote and then bind and issue the policy. Or the agent can edit the policy, potentially raising new issues. The new issues will again have to go through the underwriting process.</w:t>
      </w:r>
    </w:p>
    <w:p>
      <w:pPr>
        <w:pStyle w:val="Heading3"/>
      </w:pPr>
      <w:r>
        <w:rPr>
          <w:sz w:val="24"/>
        </w:rPr>
        <w:t>Slide 5/40: (Untitled)</w:t>
      </w:r>
    </w:p>
    <w:p>
      <w:r>
        <w:rPr>
          <w:i/>
          <w:color w:val="888888"/>
        </w:rPr>
        <w:t>[Image placeholder]</w:t>
      </w:r>
    </w:p>
    <w:p>
      <w:pPr>
        <w:spacing w:before="80" w:after="80"/>
        <w:shd w:fill="E8E8E8" w:val="clear"/>
      </w:pPr>
      <w:r>
        <w:rPr>
          <w:i/>
          <w:color w:val="444444"/>
          <w:sz w:val="18"/>
        </w:rPr>
        <w:t>Speaker Notes: Review: Underwriting authority</w:t>
        <w:br/>
        <w:t>Each component of the underwriting authority will be discussed in detail later.</w:t>
      </w:r>
    </w:p>
    <w:p>
      <w:pPr>
        <w:pStyle w:val="Heading3"/>
      </w:pPr>
      <w:r>
        <w:rPr>
          <w:sz w:val="24"/>
        </w:rPr>
        <w:t>Slide 6/40: (Untitled)</w:t>
      </w:r>
    </w:p>
    <w:p>
      <w:r>
        <w:rPr>
          <w:i/>
          <w:color w:val="888888"/>
        </w:rPr>
        <w:t>[Image placeholder]</w:t>
      </w:r>
    </w:p>
    <w:p>
      <w:pPr>
        <w:spacing w:before="80" w:after="80"/>
        <w:shd w:fill="E8E8E8" w:val="clear"/>
      </w:pPr>
      <w:r>
        <w:rPr>
          <w:i/>
          <w:color w:val="444444"/>
          <w:sz w:val="18"/>
        </w:rPr>
        <w:t>Speaker Notes: Review: Underwriting issues</w:t>
        <w:br/>
        <w:t>The UWIssue entity refers to the underwriting issues in the data model. There are certain issues that can be approved by agents themselves, but certain other need special approval from underwriters. For example, if the driver or applicant has a suspended/revoked license then the agent cannot quote the policy and an undemriting issue is raised and sent to the underwriter for approval. Alternately, if a driver is driving a vehicle garaged in CA but has a valid driving license in MA, then agents can verify the license and underwriting issue will not be raised.</w:t>
        <w:br/>
        <w:br/>
        <w:t>PolicyCenter raises issues automatically based on policy choices such as the types of vehicles on a policy or coverage amounts.</w:t>
      </w:r>
    </w:p>
    <w:p>
      <w:pPr>
        <w:pStyle w:val="Heading3"/>
      </w:pPr>
      <w:r>
        <w:rPr>
          <w:sz w:val="24"/>
        </w:rPr>
        <w:t>Slide 7/40: (Untitled)</w:t>
      </w:r>
    </w:p>
    <w:p>
      <w:r>
        <w:rPr>
          <w:i/>
          <w:color w:val="888888"/>
        </w:rPr>
        <w:t>[Image placeholder]</w:t>
      </w:r>
    </w:p>
    <w:p>
      <w:pPr>
        <w:spacing w:before="80" w:after="80"/>
        <w:shd w:fill="E8E8E8" w:val="clear"/>
      </w:pPr>
      <w:r>
        <w:rPr>
          <w:i/>
          <w:color w:val="444444"/>
          <w:sz w:val="18"/>
        </w:rPr>
        <w:t>Speaker Notes: How are UW issues raised?</w:t>
        <w:br/>
        <w:t>In general, Guidewire recommends that you raise underwriting issues as early as possible. Carefully consider the point at which the underwriting issue blocks progress. For example, you can raise fire hazard issues before quoting a policy, but have the issue block binding. By raising underwriting issues early, the user is aware of the issues early and can plan how to deal with them.  Consider example of a submission job, where the user adds a high value vehicle with a VIN number The high value vehicle causes PolicyCenter to raise underwriting issues before quoting.</w:t>
        <w:br/>
        <w:br/>
        <w:t>In the base configuration, the IPolicyEvaluationPlugin c hecks whether there are issues to create before quote for this policy period and its lines of business. For example, the High value vehicle issue raises an issue if vehicle cost is greater than $100,000. In this case, the code creates an issue based on the VIN number and another issue for high-value vehicle.  The IPolicyEvaluationPlugin p lugin has input parameters for the current checking set (Quote Issues) and policy period. The plugin calls evaluator classes that evaluate and raise underwriting issues. The plugin calls line-of-business- specific evaluators (PA UnderwriterEvaluator.gs  for example) for each line of business in the policy period. The plugin then calls the default evaluator (DefaultUnderwriterEvaluator- gs).</w:t>
        <w:br/>
        <w:br/>
        <w:t xml:space="preserve">The evaluators retrieve issue type definitions (UWIssueType) which is defined through the underwriting rule user interface- You can set the rule condition to raise underwriting issue in the UW rule user interface. It is easier for the authorized users to check and update the rules.  You can also modify the LOB specific evaluators to raise underwriting issues for more complex conditions- It is recommended to write the condition to raise underwriting issues in either the IJI or the evaluator class.  Using both will result in unpredictability. </w:t>
        <w:br/>
        <w:br/>
        <w:t xml:space="preserve"> When determining whether to raise an issue, the evaluators checks the business rules and triggers the issue if any rules are subscribed at each checking set (see evaluator method AbstractlJnderwriterEvalutor. gs) and then triggers the issue if there are any hard coded rules in the LOB specific evaluator- </w:t>
        <w:br/>
        <w:br/>
        <w:t>The IPolicyEvaluationPlugin c hecks for orphaned issues and removes them. In this case, e plugn In finds  orphaned issues. Orphaned issues are underwriting issues that were generated by this checking set but are no longer an issue at this time-</w:t>
        <w:br/>
        <w:br/>
        <w:t>Before quoting, the Gosu code checks for issues that block quote and any earlier blocking points- In this example, there are issues that block quote.  PolicyCenter displays a screen listing the VIN issue that blocks quote and does not quote the policy.  PolicyCenter does not highlight the issue for the high value vehicle because job progress is already blocked at an earlier point.</w:t>
      </w:r>
    </w:p>
    <w:p>
      <w:pPr>
        <w:pStyle w:val="Heading3"/>
      </w:pPr>
      <w:r>
        <w:rPr>
          <w:sz w:val="24"/>
        </w:rPr>
        <w:t>Slide 8/40: (Untitled)</w:t>
      </w:r>
    </w:p>
    <w:p>
      <w:r>
        <w:rPr>
          <w:i/>
          <w:color w:val="888888"/>
        </w:rPr>
        <w:t>[Image placeholder]</w:t>
      </w:r>
    </w:p>
    <w:p>
      <w:pPr>
        <w:spacing w:before="80" w:after="80"/>
        <w:shd w:fill="E8E8E8" w:val="clear"/>
      </w:pPr>
      <w:r>
        <w:rPr>
          <w:i/>
          <w:color w:val="444444"/>
          <w:sz w:val="18"/>
        </w:rPr>
        <w:t>Speaker Notes: Implementing underwriting authority</w:t>
        <w:br/>
        <w:t>Each of these steps are discussed in detail in the following slides.</w:t>
      </w:r>
    </w:p>
    <w:p>
      <w:pPr>
        <w:pStyle w:val="Heading3"/>
      </w:pPr>
      <w:r>
        <w:rPr>
          <w:sz w:val="24"/>
        </w:rPr>
        <w:t>Slide 9/40: (Untitled)</w:t>
      </w:r>
    </w:p>
    <w:p>
      <w:r>
        <w:rPr>
          <w:i/>
          <w:color w:val="888888"/>
        </w:rPr>
        <w:t>[Image placeholder]</w:t>
      </w:r>
    </w:p>
    <w:p>
      <w:pPr>
        <w:pStyle w:val="Heading3"/>
      </w:pPr>
      <w:r>
        <w:rPr>
          <w:sz w:val="24"/>
        </w:rPr>
        <w:t>Slide 10/40: (Untitled)</w:t>
      </w:r>
    </w:p>
    <w:p>
      <w:pPr>
        <w:pStyle w:val="Heading3"/>
      </w:pPr>
      <w:r>
        <w:rPr>
          <w:sz w:val="24"/>
        </w:rPr>
        <w:t>Slide 11/40: (Untitled)</w:t>
      </w:r>
    </w:p>
    <w:p>
      <w:r>
        <w:rPr>
          <w:i/>
          <w:color w:val="888888"/>
        </w:rPr>
        <w:t>[Image placeholder]</w:t>
      </w:r>
    </w:p>
    <w:p>
      <w:pPr>
        <w:pStyle w:val="Heading3"/>
      </w:pPr>
      <w:r>
        <w:rPr>
          <w:sz w:val="24"/>
        </w:rPr>
        <w:t>Slide 12/40: (Untitled)</w:t>
      </w:r>
    </w:p>
    <w:p>
      <w:r>
        <w:rPr>
          <w:i/>
          <w:color w:val="888888"/>
        </w:rPr>
        <w:t>[Image placeholder]</w:t>
      </w:r>
    </w:p>
    <w:p>
      <w:pPr>
        <w:pStyle w:val="Heading3"/>
      </w:pPr>
      <w:r>
        <w:rPr>
          <w:sz w:val="24"/>
        </w:rPr>
        <w:t>Slide 13/40: (Untitled)</w:t>
      </w:r>
    </w:p>
    <w:p>
      <w:r>
        <w:rPr>
          <w:i/>
          <w:color w:val="888888"/>
        </w:rPr>
        <w:t>[Image placeholder]</w:t>
      </w:r>
    </w:p>
    <w:p>
      <w:pPr>
        <w:spacing w:before="80" w:after="80"/>
        <w:shd w:fill="E8E8E8" w:val="clear"/>
      </w:pPr>
      <w:r>
        <w:rPr>
          <w:i/>
          <w:color w:val="444444"/>
          <w:sz w:val="18"/>
        </w:rPr>
        <w:t>Speaker Notes: Learner story</w:t>
        <w:br/>
        <w:t>This section discusses the underwriting rules in detail. The following are the objectives for this section:</w:t>
        <w:br/>
        <w:t>Describe the fields related to defining the UW Rule and evaluating the UW Issue</w:t>
        <w:br/>
        <w:t>Define a new undemriting rule and specify rule conditions to raise the underwriting issue</w:t>
      </w:r>
    </w:p>
    <w:p>
      <w:pPr>
        <w:pStyle w:val="Heading3"/>
      </w:pPr>
      <w:r>
        <w:rPr>
          <w:sz w:val="24"/>
        </w:rPr>
        <w:t>Slide 14/40: (Untitled)</w:t>
      </w:r>
    </w:p>
    <w:p>
      <w:r>
        <w:rPr>
          <w:i/>
          <w:color w:val="888888"/>
        </w:rPr>
        <w:t>[Image placeholder]</w:t>
      </w:r>
    </w:p>
    <w:p>
      <w:pPr>
        <w:spacing w:before="80" w:after="80"/>
        <w:shd w:fill="E8E8E8" w:val="clear"/>
      </w:pPr>
      <w:r>
        <w:rPr>
          <w:i/>
          <w:color w:val="444444"/>
          <w:sz w:val="18"/>
        </w:rPr>
        <w:t>Speaker Notes: Underwriting rules</w:t>
        <w:br/>
        <w:t>An underwriting issue type is specified in the UWIssueType entity, which is a property of UWRule. PolicyCenter uses the UW Rule to define the UW Issue Type and specify the conditions to raise the issue.</w:t>
        <w:br/>
        <w:t xml:space="preserve">Configuration users should create and manage the set of underwriting rules and their characteristics very carefully.  Guidewire recommends that you do not remove underwriting rules once they have been deployed in a production system- </w:t>
        <w:br/>
        <w:br/>
        <w:t>The Underwriting Rule Screen can be divided into several categories-</w:t>
        <w:br/>
        <w:br/>
        <w:t>Fields related to defining the UW Rule (mostly on the Rule Details tab). It includes Name, Code, Description, Checking Set, Blocking Point, Enabled, Start and End Date-</w:t>
        <w:br/>
        <w:t>Fields related to evaluating the UW Issue. It includes the Applicability section, Rule Context, Rule Condition and UW Issue Details-</w:t>
        <w:br/>
        <w:t>Fields related to approving the UW Issue (mostly on the Advanced tab). It includes Auto- approvable, Default Edit Before Bind, Default Approval Blocking Point, Default Duration (Rule Details tab), Value Comparator, Value Formatter Type, Default Value Assignment Type and Default Value Offset Amount.</w:t>
        <w:br/>
        <w:br/>
        <w:t>PolicyCenter uses underwriting rule values:</w:t>
        <w:br/>
        <w:t>to check the condition and raise UW issue</w:t>
        <w:br/>
        <w:t xml:space="preserve">for determining availability of the Approve button, indicating that you can approve a specific issue </w:t>
        <w:br/>
        <w:t xml:space="preserve">to the default level to initially set the user interface for approvals that do not already have an approval present </w:t>
        <w:br/>
        <w:t>as automated approvals for auto-approvable issues and issues in automated processes</w:t>
      </w:r>
    </w:p>
    <w:p>
      <w:pPr>
        <w:pStyle w:val="Heading3"/>
      </w:pPr>
      <w:r>
        <w:rPr>
          <w:sz w:val="24"/>
        </w:rPr>
        <w:t>Slide 15/40: (Untitled)</w:t>
      </w:r>
    </w:p>
    <w:p>
      <w:r>
        <w:rPr>
          <w:i/>
          <w:color w:val="888888"/>
        </w:rPr>
        <w:t>[Image placeholder]</w:t>
      </w:r>
    </w:p>
    <w:p>
      <w:pPr>
        <w:spacing w:before="80" w:after="80"/>
        <w:shd w:fill="E8E8E8" w:val="clear"/>
      </w:pPr>
      <w:r>
        <w:rPr>
          <w:i/>
          <w:color w:val="444444"/>
          <w:sz w:val="18"/>
        </w:rPr>
        <w:t>Speaker Notes: Checking set</w:t>
        <w:br/>
        <w:t>A checking set is one of the important field in undemriting rules.</w:t>
      </w:r>
    </w:p>
    <w:p>
      <w:pPr>
        <w:pStyle w:val="Heading3"/>
      </w:pPr>
      <w:r>
        <w:rPr>
          <w:sz w:val="24"/>
        </w:rPr>
        <w:t>Slide 16/40: (Untitled)</w:t>
      </w:r>
    </w:p>
    <w:p>
      <w:r>
        <w:rPr>
          <w:i/>
          <w:color w:val="888888"/>
        </w:rPr>
        <w:t>[Image placeholder]</w:t>
      </w:r>
    </w:p>
    <w:p>
      <w:pPr>
        <w:spacing w:before="80" w:after="80"/>
        <w:shd w:fill="E8E8E8" w:val="clear"/>
      </w:pPr>
      <w:r>
        <w:rPr>
          <w:i/>
          <w:color w:val="444444"/>
          <w:sz w:val="18"/>
        </w:rPr>
        <w:t>Speaker Notes: Blocking point</w:t>
        <w:br/>
        <w:t>A blocking point is another important field in undemriting rules.</w:t>
        <w:br/>
        <w:t>Users define a blocking point for each underwriting rule.  For example, PolicyCenter prevents a user from binding a policy until a high-value vehicle underwriting issue is approved.</w:t>
        <w:br/>
        <w:br/>
        <w:t>Blocking points can be set to non-blocking so that an issue does not stop the job, but shows up as an informational issue on the Risk Analysis page as shown in the slide. When the underwriting issue is informational, the agent can progress further in the job and quote, bind and issue the policy. Informational issues do not need underwriter approval-</w:t>
        <w:br/>
        <w:br/>
        <w:t xml:space="preserve">Note: Issues can be detected early, but then block at a much later point. For example, you can detect fire- breathing clowns before quoting a policy, but the issue will block binding.  </w:t>
        <w:br/>
        <w:t>By detecting issues early, you can provide added visibility to PolicyCenter users, and improve their ability to plan their work-</w:t>
        <w:br/>
        <w:t>Detect issues as early as possible and think carefully about where they will block progress.</w:t>
        <w:br/>
        <w:t>If a field were only available on a quote screen (e.g., manual pricing adjustment factor), but its value blocked the quote, it would result in you not being able to return to the earlier screen to implement changes.</w:t>
      </w:r>
    </w:p>
    <w:p>
      <w:pPr>
        <w:pStyle w:val="Heading3"/>
      </w:pPr>
      <w:r>
        <w:rPr>
          <w:sz w:val="24"/>
        </w:rPr>
        <w:t>Slide 17/40: (Untitled)</w:t>
      </w:r>
    </w:p>
    <w:p>
      <w:r>
        <w:rPr>
          <w:i/>
          <w:color w:val="888888"/>
        </w:rPr>
        <w:t>[Image placeholder]</w:t>
      </w:r>
    </w:p>
    <w:p>
      <w:pPr>
        <w:spacing w:before="80" w:after="80"/>
        <w:shd w:fill="E8E8E8" w:val="clear"/>
      </w:pPr>
      <w:r>
        <w:rPr>
          <w:i/>
          <w:color w:val="444444"/>
          <w:sz w:val="18"/>
        </w:rPr>
        <w:t>Speaker Notes: Raise UW Issues with Rule Conditions in IJI</w:t>
        <w:br/>
        <w:t xml:space="preserve">The Applies to fields, Policy Line, Jurisdiction and Policy Transaction are part of the applicability criteria, which also includes Start Date and End Date. If date fields are empty, the rule will be run at any date. </w:t>
        <w:br/>
        <w:br/>
        <w:t>In the user interface, the rule context will be filtered upon the selections of checking set and policy line. The rule contexts must apply to all the selections.  For example, if all Policy Line is selected, it will show only the Generic Policy context and if Personal Auto Line is selected, it will display additional contexts for personal auto policies.</w:t>
        <w:br/>
        <w:br/>
        <w:t>The I-JW Rule will be triggered when both the Rule Condition specified in the user interface and rule Applicability criteria are met.</w:t>
      </w:r>
    </w:p>
    <w:p>
      <w:pPr>
        <w:pStyle w:val="Heading3"/>
      </w:pPr>
      <w:r>
        <w:rPr>
          <w:sz w:val="24"/>
        </w:rPr>
        <w:t>Slide 18/40: (Untitled)</w:t>
      </w:r>
    </w:p>
    <w:p>
      <w:r>
        <w:rPr>
          <w:i/>
          <w:color w:val="888888"/>
        </w:rPr>
        <w:t>[Image placeholder]</w:t>
      </w:r>
    </w:p>
    <w:p>
      <w:pPr>
        <w:spacing w:before="80" w:after="80"/>
        <w:shd w:fill="E8E8E8" w:val="clear"/>
      </w:pPr>
      <w:r>
        <w:rPr>
          <w:i/>
          <w:color w:val="444444"/>
          <w:sz w:val="18"/>
        </w:rPr>
        <w:t>Speaker Notes: Specify Rule Conditions</w:t>
        <w:br/>
        <w:t>PolicyCenter provides a rule condition editor on the IJI to write expressions used to evaluate the policy transaction. The UW rule conditions set in the IJI are evaluated and executed in the AbstractlJnderwriterEvaluator.gs first when each LOB Underwriter Evaluator is called. If rule conditions are specified in the IJI,  it is recommended not to write Gosu conditions to raise UW issues in the LOB Underwriter Evaluators to avoid unpredictability.</w:t>
        <w:br/>
        <w:br/>
        <w:t>Note: Mode is from the Business Rules framework in the platform code. It cannot be easily configured, except for the lookup mode. To use the lookup mode,  you must configure the look up data sources, such as system tables.</w:t>
      </w:r>
    </w:p>
    <w:p>
      <w:pPr>
        <w:pStyle w:val="Heading3"/>
      </w:pPr>
      <w:r>
        <w:rPr>
          <w:sz w:val="24"/>
        </w:rPr>
        <w:t>Slide 19/40: (Untitled)</w:t>
      </w:r>
    </w:p>
    <w:p>
      <w:r>
        <w:rPr>
          <w:i/>
          <w:color w:val="888888"/>
        </w:rPr>
        <w:t>[Image placeholder]</w:t>
      </w:r>
    </w:p>
    <w:p>
      <w:pPr>
        <w:pStyle w:val="Heading3"/>
      </w:pPr>
      <w:r>
        <w:rPr>
          <w:sz w:val="24"/>
        </w:rPr>
        <w:t>Slide 20/40: (Untitled)</w:t>
      </w:r>
    </w:p>
    <w:p>
      <w:pPr>
        <w:pStyle w:val="Heading3"/>
      </w:pPr>
      <w:r>
        <w:rPr>
          <w:sz w:val="24"/>
        </w:rPr>
        <w:t>Slide 21/40: (Untitled)</w:t>
      </w:r>
    </w:p>
    <w:p>
      <w:r>
        <w:rPr>
          <w:i/>
          <w:color w:val="888888"/>
        </w:rPr>
        <w:t>[Image placeholder]</w:t>
      </w:r>
    </w:p>
    <w:p>
      <w:pPr>
        <w:pStyle w:val="Heading3"/>
      </w:pPr>
      <w:r>
        <w:rPr>
          <w:sz w:val="24"/>
        </w:rPr>
        <w:t>Slide 22/40: (Untitled)</w:t>
      </w:r>
    </w:p>
    <w:p>
      <w:r>
        <w:rPr>
          <w:i/>
          <w:color w:val="888888"/>
        </w:rPr>
        <w:t>[Image placeholder]</w:t>
      </w:r>
    </w:p>
    <w:p>
      <w:pPr>
        <w:spacing w:before="80" w:after="80"/>
        <w:shd w:fill="E8E8E8" w:val="clear"/>
      </w:pPr>
      <w:r>
        <w:rPr>
          <w:i/>
          <w:color w:val="444444"/>
          <w:sz w:val="18"/>
        </w:rPr>
        <w:t>Speaker Notes: Configure Context Definition</w:t>
        <w:br/>
        <w:t>The Rule Contexts contain one or more context objects so that policy data can be accessed on the IJI to create formula expressions.</w:t>
        <w:br/>
        <w:t>AbstractUWRuleContextDefiniti on.gs contains basic objects including a "lib" object that contains utility methods.</w:t>
      </w:r>
    </w:p>
    <w:p>
      <w:pPr>
        <w:pStyle w:val="Heading3"/>
      </w:pPr>
      <w:r>
        <w:rPr>
          <w:sz w:val="24"/>
        </w:rPr>
        <w:t>Slide 23/40: (Untitled)</w:t>
      </w:r>
    </w:p>
    <w:p>
      <w:r>
        <w:rPr>
          <w:i/>
          <w:color w:val="888888"/>
        </w:rPr>
        <w:t>[Image placeholder]</w:t>
      </w:r>
    </w:p>
    <w:p>
      <w:pPr>
        <w:spacing w:before="80" w:after="80"/>
        <w:shd w:fill="E8E8E8" w:val="clear"/>
      </w:pPr>
      <w:r>
        <w:rPr>
          <w:i/>
          <w:color w:val="444444"/>
          <w:sz w:val="18"/>
        </w:rPr>
        <w:t>Speaker Notes: Context Definition and UW Rule</w:t>
        <w:br/>
        <w:t>The rule contexts apply to specific policy lines and are supported at different triggering points. (Remember that rule triggering points are mapped to UW Issue checking sets.)</w:t>
        <w:br/>
        <w:br/>
        <w:t>The applies To PolicyLines specifies what policy lines the context definition applies to.  The Rule Context Definition Key must be in the supported contexts in</w:t>
        <w:br/>
        <w:t>U nderwriterEvaluator Triggering Point .gs. Otherwise the I-JW issue will not be created even if the rule condition is defined in the UI-</w:t>
      </w:r>
    </w:p>
    <w:p>
      <w:pPr>
        <w:pStyle w:val="Heading3"/>
      </w:pPr>
      <w:r>
        <w:rPr>
          <w:sz w:val="24"/>
        </w:rPr>
        <w:t>Slide 24/40: (Untitled)</w:t>
      </w:r>
    </w:p>
    <w:p>
      <w:r>
        <w:rPr>
          <w:i/>
          <w:color w:val="888888"/>
        </w:rPr>
        <w:t>[Image placeholder]</w:t>
      </w:r>
    </w:p>
    <w:p>
      <w:pPr>
        <w:pStyle w:val="Heading3"/>
      </w:pPr>
      <w:r>
        <w:rPr>
          <w:sz w:val="24"/>
        </w:rPr>
        <w:t>Slide 25/40: (Untitled)</w:t>
      </w:r>
    </w:p>
    <w:p>
      <w:pPr>
        <w:pStyle w:val="Heading3"/>
      </w:pPr>
      <w:r>
        <w:rPr>
          <w:sz w:val="24"/>
        </w:rPr>
        <w:t>Slide 26/40: (Untitled)</w:t>
      </w:r>
    </w:p>
    <w:p>
      <w:r>
        <w:rPr>
          <w:i/>
          <w:color w:val="888888"/>
        </w:rPr>
        <w:t>[Image placeholder]</w:t>
      </w:r>
    </w:p>
    <w:p>
      <w:pPr>
        <w:pStyle w:val="Heading3"/>
      </w:pPr>
      <w:r>
        <w:rPr>
          <w:sz w:val="24"/>
        </w:rPr>
        <w:t>Slide 27/40: (Untitled)</w:t>
      </w:r>
    </w:p>
    <w:p>
      <w:r>
        <w:rPr>
          <w:i/>
          <w:color w:val="888888"/>
        </w:rPr>
        <w:t>[Image placeholder]</w:t>
      </w:r>
    </w:p>
    <w:p>
      <w:pPr>
        <w:pStyle w:val="Heading3"/>
      </w:pPr>
      <w:r>
        <w:rPr>
          <w:sz w:val="24"/>
        </w:rPr>
        <w:t>Slide 28/40: (Untitled)</w:t>
      </w:r>
    </w:p>
    <w:p>
      <w:r>
        <w:rPr>
          <w:i/>
          <w:color w:val="888888"/>
        </w:rPr>
        <w:t>[Image placeholder]</w:t>
      </w:r>
    </w:p>
    <w:p>
      <w:pPr>
        <w:pStyle w:val="Heading3"/>
      </w:pPr>
      <w:r>
        <w:rPr>
          <w:sz w:val="24"/>
        </w:rPr>
        <w:t>Slide 29/40: (Untitled)</w:t>
      </w:r>
    </w:p>
    <w:p>
      <w:r>
        <w:rPr>
          <w:i/>
          <w:color w:val="888888"/>
        </w:rPr>
        <w:t>[Image placeholder]</w:t>
      </w:r>
    </w:p>
    <w:p>
      <w:pPr>
        <w:pStyle w:val="Heading3"/>
      </w:pPr>
      <w:r>
        <w:rPr>
          <w:sz w:val="24"/>
        </w:rPr>
        <w:t>Slide 30/40: (Untitled)</w:t>
      </w:r>
    </w:p>
    <w:p>
      <w:r>
        <w:rPr>
          <w:i/>
          <w:color w:val="888888"/>
        </w:rPr>
        <w:t>[Image placeholder]</w:t>
      </w:r>
    </w:p>
    <w:p>
      <w:pPr>
        <w:pStyle w:val="Heading3"/>
      </w:pPr>
      <w:r>
        <w:rPr>
          <w:sz w:val="24"/>
        </w:rPr>
        <w:t>Slide 31/40: (Untitled)</w:t>
      </w:r>
    </w:p>
    <w:p>
      <w:r>
        <w:rPr>
          <w:i/>
          <w:color w:val="888888"/>
        </w:rPr>
        <w:t>[Image placeholder]</w:t>
      </w:r>
    </w:p>
    <w:p>
      <w:pPr>
        <w:pStyle w:val="Heading3"/>
      </w:pPr>
      <w:r>
        <w:rPr>
          <w:sz w:val="24"/>
        </w:rPr>
        <w:t>Slide 32/40: (Untitled)</w:t>
      </w:r>
    </w:p>
    <w:p>
      <w:r>
        <w:rPr>
          <w:i/>
          <w:color w:val="888888"/>
        </w:rPr>
        <w:t>[Image placeholder]</w:t>
      </w:r>
    </w:p>
    <w:p>
      <w:pPr>
        <w:pStyle w:val="Heading3"/>
      </w:pPr>
      <w:r>
        <w:rPr>
          <w:sz w:val="24"/>
        </w:rPr>
        <w:t>Slide 33/40: (Untitled)</w:t>
      </w:r>
    </w:p>
    <w:p>
      <w:r>
        <w:rPr>
          <w:i/>
          <w:color w:val="888888"/>
        </w:rPr>
        <w:t>[Image placeholder]</w:t>
      </w:r>
    </w:p>
    <w:p>
      <w:pPr>
        <w:pStyle w:val="Heading3"/>
      </w:pPr>
      <w:r>
        <w:rPr>
          <w:sz w:val="24"/>
        </w:rPr>
        <w:t>Slide 34/40: (Untitled)</w:t>
      </w:r>
    </w:p>
    <w:p>
      <w:r>
        <w:rPr>
          <w:i/>
          <w:color w:val="888888"/>
        </w:rPr>
        <w:t>[Image placeholder]</w:t>
      </w:r>
    </w:p>
    <w:p>
      <w:pPr>
        <w:pStyle w:val="Heading3"/>
      </w:pPr>
      <w:r>
        <w:rPr>
          <w:sz w:val="24"/>
        </w:rPr>
        <w:t>Slide 35/40: (Untitled)</w:t>
      </w:r>
    </w:p>
    <w:p>
      <w:r>
        <w:rPr>
          <w:i/>
          <w:color w:val="888888"/>
        </w:rPr>
        <w:t>[Image placeholder]</w:t>
      </w:r>
    </w:p>
    <w:p>
      <w:pPr>
        <w:pStyle w:val="Heading3"/>
      </w:pPr>
      <w:r>
        <w:rPr>
          <w:sz w:val="24"/>
        </w:rPr>
        <w:t>Slide 36/40: (Untitled)</w:t>
      </w:r>
    </w:p>
    <w:p>
      <w:r>
        <w:rPr>
          <w:i/>
          <w:color w:val="888888"/>
        </w:rPr>
        <w:t>[Image placeholder]</w:t>
      </w:r>
    </w:p>
    <w:p>
      <w:pPr>
        <w:pStyle w:val="Heading3"/>
      </w:pPr>
      <w:r>
        <w:rPr>
          <w:sz w:val="24"/>
        </w:rPr>
        <w:t>Slide 37/40: (Untitled)</w:t>
      </w:r>
    </w:p>
    <w:p>
      <w:pPr>
        <w:pStyle w:val="Heading3"/>
      </w:pPr>
      <w:r>
        <w:rPr>
          <w:sz w:val="24"/>
        </w:rPr>
        <w:t>Slide 38/40: (Untitled)</w:t>
      </w:r>
    </w:p>
    <w:p>
      <w:r>
        <w:rPr>
          <w:i/>
          <w:color w:val="888888"/>
        </w:rPr>
        <w:t>[Image placeholder]</w:t>
      </w:r>
    </w:p>
    <w:p>
      <w:pPr>
        <w:spacing w:before="80" w:after="80"/>
        <w:shd w:fill="E8E8E8" w:val="clear"/>
      </w:pPr>
      <w:r>
        <w:rPr>
          <w:i/>
          <w:color w:val="444444"/>
          <w:sz w:val="18"/>
        </w:rPr>
        <w:t>Speaker Notes: Define a new UW rule</w:t>
        <w:br/>
        <w:t xml:space="preserve">Is there a natural value associated with this issue, and will the value affect which underwriters can approve that issue? </w:t>
        <w:br/>
        <w:t>A value can be a number a currency amount, a state (or set of states), a class code (or a range of class codes), or anything that can be easily represented by users as a string.</w:t>
        <w:br/>
        <w:t>It is not required that a value be associated with an issue, if it does not affect which underwriters will be able to approve particular issues-</w:t>
        <w:br/>
        <w:t xml:space="preserve">That is, if an issue rule is "Driver is over 80 years old", but whether any specific UW can approve the issue does not depend on how much older the driver is- You also need to grant the appropriate authority to approve this issue  underwriters- </w:t>
        <w:br/>
        <w:br/>
        <w:t>On which job types  (submissions, policy changes, etc.) and at which job lifecycle transitions (quoting, binding, etc.)  should this issue be detected?</w:t>
        <w:br/>
        <w:t>For example, issues that will not change after a job is quoted may be detected at only one point, and may be detected as early as quoting, and there is no reason to ever try to detect the issue aqain.</w:t>
      </w:r>
    </w:p>
    <w:p>
      <w:pPr>
        <w:pStyle w:val="Heading3"/>
      </w:pPr>
      <w:r>
        <w:rPr>
          <w:sz w:val="24"/>
        </w:rPr>
        <w:t>Slide 39/40: (Untitled)</w:t>
      </w:r>
    </w:p>
    <w:p>
      <w:r>
        <w:rPr>
          <w:i/>
          <w:color w:val="888888"/>
        </w:rPr>
        <w:t>[Image placeholder]</w:t>
      </w:r>
    </w:p>
    <w:p>
      <w:pPr>
        <w:pStyle w:val="Heading3"/>
      </w:pPr>
      <w:r>
        <w:rPr>
          <w:sz w:val="24"/>
        </w:rPr>
        <w:t>Slide 40/40: (Untitled)</w:t>
      </w:r>
    </w:p>
    <w:p>
      <w:r>
        <w:rPr>
          <w:i/>
          <w:color w:val="888888"/>
        </w:rPr>
        <w:t>[Image placeholder]</w:t>
      </w:r>
    </w:p>
    <w:p>
      <w:pPr>
        <w:pStyle w:val="Heading2"/>
      </w:pPr>
      <w:r>
        <w:t>Assignment</w:t>
      </w:r>
    </w:p>
    <w:p>
      <w:r>
        <w:rPr>
          <w:b/>
          <w:color w:val="008800"/>
        </w:rPr>
        <w:t>[Assignment 06]: Raising Underwriting Issues</w:t>
      </w:r>
    </w:p>
    <w:p>
      <w:r>
        <w:rPr>
          <w:i/>
          <w:sz w:val="18"/>
        </w:rPr>
        <w:t>File: 06 - Raising Underwriting Issues.pdf</w:t>
      </w:r>
    </w:p>
    <w:p/>
    <w:p>
      <w:pPr>
        <w:spacing w:before="240"/>
        <w:jc w:val="center"/>
      </w:pPr>
      <w:r>
        <w:rPr>
          <w:i/>
          <w:color w:val="999999"/>
          <w:sz w:val="16"/>
        </w:rPr>
        <w:t>--- End of Lesson 6: Raising Underwriting Issues | 40 slides | 27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