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7: Approving Underwriting Issues</w:t>
      </w:r>
    </w:p>
    <w:p>
      <w:pPr>
        <w:spacing w:after="40"/>
      </w:pPr>
      <w:r>
        <w:rPr>
          <w:i/>
          <w:color w:val="999999"/>
          <w:sz w:val="16"/>
        </w:rPr>
        <w:t>Source: PP_07_Approving Underwriting Issues.pptx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1/19: (Untitled)</w:t>
      </w:r>
    </w:p>
    <w:p>
      <w:r>
        <w:rPr>
          <w:i/>
          <w:color w:val="888888"/>
        </w:rPr>
        <w:t>[Image placeholder]</w:t>
      </w:r>
    </w:p>
    <w:p>
      <w:pPr>
        <w:pStyle w:val="Heading3"/>
      </w:pPr>
      <w:r>
        <w:rPr>
          <w:sz w:val="24"/>
        </w:rPr>
        <w:t>Slide 2/19: (Untitled)</w:t>
      </w:r>
    </w:p>
    <w:p>
      <w:r>
        <w:rPr>
          <w:i/>
          <w:color w:val="888888"/>
        </w:rPr>
        <w:t>[Image placeholder]</w:t>
      </w:r>
    </w:p>
    <w:p>
      <w:pPr>
        <w:pStyle w:val="Heading3"/>
      </w:pPr>
      <w:r>
        <w:rPr>
          <w:sz w:val="24"/>
        </w:rPr>
        <w:t>Slide 3/19: (Untitled)</w:t>
      </w:r>
    </w:p>
    <w:p>
      <w:r>
        <w:rPr>
          <w:i/>
          <w:color w:val="888888"/>
        </w:rPr>
        <w:t>[Image placeholder]</w:t>
      </w:r>
    </w:p>
    <w:p>
      <w:pPr>
        <w:pStyle w:val="Heading3"/>
      </w:pPr>
      <w:r>
        <w:rPr>
          <w:sz w:val="24"/>
        </w:rPr>
        <w:t>Slide 4/19: (Untitled)</w:t>
      </w:r>
    </w:p>
    <w:p>
      <w:r>
        <w:rPr>
          <w:i/>
          <w:color w:val="888888"/>
        </w:rPr>
        <w:t>[Image placeholder]</w:t>
      </w:r>
    </w:p>
    <w:p>
      <w:pPr>
        <w:spacing w:before="80" w:after="80"/>
        <w:shd w:fill="E8E8E8" w:val="clear"/>
      </w:pPr>
      <w:r>
        <w:rPr>
          <w:i/>
          <w:color w:val="444444"/>
          <w:sz w:val="18"/>
        </w:rPr>
        <w:t>Speaker Notes: Review: Underwriting approval process</w:t>
        <w:br/>
        <w:t>IJnderwriting Approval Process: UW issues are created during any job such as a submission or a policy change. Since job has a one-to-one relationship with Policy Period the underwriting issues are on a Policy Period. In the underwriting approval process, the policy period can be referred to users with higher or</w:t>
        <w:br/>
        <w:t>different authority profiles. The assignment can be customized in the field to use Assignment Rules, as needed to match customer practices. These users receive activities  notifying them they need to approve issues on the policy A particular policy may be referred to several users before being approved. When the underwriter or whoever is reviewing the policy, feels that the review of the policy is complete, whether issues have been approved or not, they click the Release Lock button. This releases the policy from underwriting, and Policy Center sends an activity to the user who initiated the referral-</w:t>
        <w:br/>
        <w:br/>
        <w:t>The Initial Referrer role stores the name of this user. (The underwriter can modify the recipient and other fields in the activity.) To facilitate passing policies between agents and underwriters, a given policy period can be flagged as edit locked and quote hidden- After an agent hands these policies to an underwriter, the agent usually cannot edit the policy or view an unreleased quote- The permissions for editing or viewing the quote while under review are usually reserved for underwriters-</w:t>
        <w:br/>
        <w:br/>
        <w:t>Initial Referrer: The Initial Referrer user role facilitates passing policies between underwriting and producers. The initial referrer is the user who referred the policy to underwriting. When requesting approval for issues on a policy period if the Initial Referrer user role is not set, the role is set to the current user- When the underwriter releases the policy by clicking the Release button, the Initial Referrer role is unset An activity is sent to the Initial Referrer on the period. You can also customize the Initial Referrer user role-</w:t>
        <w:br/>
        <w:br/>
        <w:t>The Initial Referrer user role is a transient role assigned to users in the context of their role in the job- Because it is a transient role, it is assigned by the job code rather than being assigned to the user in the Administration tab. Because it is a transient role, it is not in the User Role type list</w:t>
      </w:r>
    </w:p>
    <w:p>
      <w:pPr>
        <w:pStyle w:val="Heading3"/>
      </w:pPr>
      <w:r>
        <w:rPr>
          <w:sz w:val="24"/>
        </w:rPr>
        <w:t>Slide 5/19: (Untitled)</w:t>
      </w:r>
    </w:p>
    <w:p>
      <w:r>
        <w:rPr>
          <w:i/>
          <w:color w:val="888888"/>
        </w:rPr>
        <w:t>[Image placeholder]</w:t>
      </w:r>
    </w:p>
    <w:p>
      <w:pPr>
        <w:spacing w:before="80" w:after="80"/>
        <w:shd w:fill="E8E8E8" w:val="clear"/>
      </w:pPr>
      <w:r>
        <w:rPr>
          <w:i/>
          <w:color w:val="444444"/>
          <w:sz w:val="18"/>
        </w:rPr>
        <w:t xml:space="preserve">Speaker Notes: Configuring UW Rule fields related to approvals </w:t>
        <w:br/>
        <w:t>The UW Rule fields related to approvals are discussed in details in the demo next.</w:t>
      </w:r>
    </w:p>
    <w:p>
      <w:pPr>
        <w:pStyle w:val="Heading3"/>
      </w:pPr>
      <w:r>
        <w:rPr>
          <w:sz w:val="24"/>
        </w:rPr>
        <w:t>Slide 6/19: (Untitled)</w:t>
      </w:r>
    </w:p>
    <w:p>
      <w:r>
        <w:rPr>
          <w:i/>
          <w:color w:val="888888"/>
        </w:rPr>
        <w:t>[Image placeholder]</w:t>
      </w:r>
    </w:p>
    <w:p>
      <w:pPr>
        <w:pStyle w:val="Heading3"/>
      </w:pPr>
      <w:r>
        <w:rPr>
          <w:sz w:val="24"/>
        </w:rPr>
        <w:t>Slide 7/19: (Untitled)</w:t>
      </w:r>
    </w:p>
    <w:p>
      <w:pPr>
        <w:pStyle w:val="Heading3"/>
      </w:pPr>
      <w:r>
        <w:rPr>
          <w:sz w:val="24"/>
        </w:rPr>
        <w:t>Slide 8/19: (Untitled)</w:t>
      </w:r>
    </w:p>
    <w:p>
      <w:r>
        <w:rPr>
          <w:i/>
          <w:color w:val="888888"/>
        </w:rPr>
        <w:t>[Image placeholder]</w:t>
      </w:r>
    </w:p>
    <w:p>
      <w:pPr>
        <w:spacing w:before="80" w:after="80"/>
        <w:shd w:fill="E8E8E8" w:val="clear"/>
      </w:pPr>
      <w:r>
        <w:rPr>
          <w:i/>
          <w:color w:val="444444"/>
          <w:sz w:val="18"/>
        </w:rPr>
        <w:t>Speaker Notes: Default Approval Value</w:t>
        <w:br/>
        <w:t>Here is an example of how the default approval value is calculated. The screen shot on the left are fields defined in the underwriting rule- The screen on the right is shown when a user clicks on the approval button for an UW Issue raised in a policy transaction.</w:t>
        <w:br/>
        <w:br/>
        <w:t>For example, the data in a policy transaction that triggers an underwriting issue has a value of 200,000- The Default Value Offset Amount is 10%. The approval screen shows an At most value of $220,000 (z 200,000 + * 200,000).</w:t>
      </w:r>
    </w:p>
    <w:p>
      <w:pPr>
        <w:pStyle w:val="Heading3"/>
      </w:pPr>
      <w:r>
        <w:rPr>
          <w:sz w:val="24"/>
        </w:rPr>
        <w:t>Slide 9/19: (Untitled)</w:t>
      </w:r>
    </w:p>
    <w:p>
      <w:r>
        <w:rPr>
          <w:i/>
          <w:color w:val="888888"/>
        </w:rPr>
        <w:t>[Image placeholder]</w:t>
      </w:r>
    </w:p>
    <w:p>
      <w:pPr>
        <w:spacing w:before="80" w:after="80"/>
        <w:shd w:fill="E8E8E8" w:val="clear"/>
      </w:pPr>
      <w:r>
        <w:rPr>
          <w:i/>
          <w:color w:val="444444"/>
          <w:sz w:val="18"/>
        </w:rPr>
        <w:t>Speaker Notes: Authority grants and authority profiles</w:t>
        <w:br/>
        <w:t>Authority grants are similar to physical letters of authority Each authority grant is based on an issue type defined in the UWIssueType table- The authority grant can specify the values which need additional approval.</w:t>
        <w:br/>
        <w:br/>
        <w:t>Users can have zero or more Authority Profiles assigned to them- Authority profiles is different than a role.</w:t>
        <w:br/>
        <w:br/>
        <w:t xml:space="preserve"> In the examples, Job- level is the job grade a customer might have. In the base application the job-levels are Underwriter 1, Underwriter 2, and so on-</w:t>
        <w:br/>
        <w:br/>
        <w:t>When an underwriter has a specific expertise such as knowledge about Farm Equipment one can assign authority grants related to specific class codes and create a profile with those grants.  Incremental, "Joe’s Special" — bumps Joe's authority up a bit, since he isn't quite ready for a promotion to "Underwriter 2", meaning that the person has all the grants for "Underwriter 1" and some additional grants but not all the grants that he needs to be at "Underwriter 2“level.</w:t>
      </w:r>
    </w:p>
    <w:p>
      <w:pPr>
        <w:pStyle w:val="Heading3"/>
      </w:pPr>
      <w:r>
        <w:rPr>
          <w:sz w:val="24"/>
        </w:rPr>
        <w:t>Slide 10/19: (Untitled)</w:t>
      </w:r>
    </w:p>
    <w:p>
      <w:r>
        <w:rPr>
          <w:i/>
          <w:color w:val="888888"/>
        </w:rPr>
        <w:t>[Image placeholder]</w:t>
      </w:r>
    </w:p>
    <w:p>
      <w:pPr>
        <w:spacing w:before="80" w:after="80"/>
        <w:shd w:fill="E8E8E8" w:val="clear"/>
      </w:pPr>
      <w:r>
        <w:rPr>
          <w:i/>
          <w:color w:val="444444"/>
          <w:sz w:val="18"/>
        </w:rPr>
        <w:t>Speaker Notes: Configure authority grants</w:t>
        <w:br/>
        <w:t>The issue type name, comparator, and description are obtained automatically from the Underwriting Rules.</w:t>
        <w:br/>
        <w:t>In the base configuration, the Agent 1 profile has the following authority grants for personal auto policies.</w:t>
        <w:br/>
        <w:t>The collision deductible is at least $1000. A user with the Agent 1 profile cannot approve a deductible less than this-</w:t>
        <w:br/>
        <w:t>The comprehensive deductible must be at least $500- A user with the Agent 1 profile cannot approve a deductible less than this.</w:t>
        <w:br/>
        <w:t xml:space="preserve">Can approve the Garage State underwriting issue if the state of garaging is California, Oregon, or Washington. Any other state triggers a Garage states underwriting issue.  </w:t>
        <w:br/>
        <w:t>The total premium can be $200 at most A user with the Agent 1 profile cannot approve a total premium greater than this amount-</w:t>
      </w:r>
    </w:p>
    <w:p>
      <w:pPr>
        <w:pStyle w:val="Heading3"/>
      </w:pPr>
      <w:r>
        <w:rPr>
          <w:sz w:val="24"/>
        </w:rPr>
        <w:t>Slide 11/19: (Untitled)</w:t>
      </w:r>
    </w:p>
    <w:p>
      <w:r>
        <w:rPr>
          <w:i/>
          <w:color w:val="888888"/>
        </w:rPr>
        <w:t>[Image placeholder]</w:t>
      </w:r>
    </w:p>
    <w:p>
      <w:pPr>
        <w:pStyle w:val="Heading3"/>
      </w:pPr>
      <w:r>
        <w:rPr>
          <w:sz w:val="24"/>
        </w:rPr>
        <w:t>Slide 12/19: (Untitled)</w:t>
      </w:r>
    </w:p>
    <w:p>
      <w:r>
        <w:rPr>
          <w:i/>
          <w:color w:val="888888"/>
        </w:rPr>
        <w:t>[Image placeholder]</w:t>
      </w:r>
    </w:p>
    <w:p>
      <w:pPr>
        <w:pStyle w:val="Heading3"/>
      </w:pPr>
      <w:r>
        <w:rPr>
          <w:sz w:val="24"/>
        </w:rPr>
        <w:t>Slide 13/19: (Untitled)</w:t>
      </w:r>
    </w:p>
    <w:p>
      <w:r>
        <w:rPr>
          <w:i/>
          <w:color w:val="888888"/>
        </w:rPr>
        <w:t>[Image placeholder]</w:t>
      </w:r>
    </w:p>
    <w:p>
      <w:pPr>
        <w:pStyle w:val="Heading3"/>
      </w:pPr>
      <w:r>
        <w:rPr>
          <w:sz w:val="24"/>
        </w:rPr>
        <w:t>Slide 14/19: (Untitled)</w:t>
      </w:r>
    </w:p>
    <w:p>
      <w:r>
        <w:rPr>
          <w:i/>
          <w:color w:val="888888"/>
        </w:rPr>
        <w:t>[Image placeholder]</w:t>
      </w:r>
    </w:p>
    <w:p>
      <w:pPr>
        <w:pStyle w:val="Heading3"/>
      </w:pPr>
      <w:r>
        <w:rPr>
          <w:sz w:val="24"/>
        </w:rPr>
        <w:t>Slide 15/19: (Untitled)</w:t>
      </w:r>
    </w:p>
    <w:p>
      <w:r>
        <w:rPr>
          <w:i/>
          <w:color w:val="888888"/>
        </w:rPr>
        <w:t>[Image placeholder]</w:t>
      </w:r>
    </w:p>
    <w:p>
      <w:pPr>
        <w:pStyle w:val="Heading3"/>
      </w:pPr>
      <w:r>
        <w:rPr>
          <w:sz w:val="24"/>
        </w:rPr>
        <w:t>Slide 16/19: (Untitled)</w:t>
      </w:r>
    </w:p>
    <w:p>
      <w:r>
        <w:rPr>
          <w:i/>
          <w:color w:val="888888"/>
        </w:rPr>
        <w:t>[Image placeholder]</w:t>
      </w:r>
    </w:p>
    <w:p>
      <w:pPr>
        <w:pStyle w:val="Heading3"/>
      </w:pPr>
      <w:r>
        <w:rPr>
          <w:sz w:val="24"/>
        </w:rPr>
        <w:t>Slide 17/19: (Untitled)</w:t>
      </w:r>
    </w:p>
    <w:p>
      <w:pPr>
        <w:pStyle w:val="Heading3"/>
      </w:pPr>
      <w:r>
        <w:rPr>
          <w:sz w:val="24"/>
        </w:rPr>
        <w:t>Slide 18/19: (Untitled)</w:t>
      </w:r>
    </w:p>
    <w:p>
      <w:r>
        <w:rPr>
          <w:i/>
          <w:color w:val="888888"/>
        </w:rPr>
        <w:t>[Image placeholder]</w:t>
      </w:r>
    </w:p>
    <w:p>
      <w:pPr>
        <w:pStyle w:val="Heading3"/>
      </w:pPr>
      <w:r>
        <w:rPr>
          <w:sz w:val="24"/>
        </w:rPr>
        <w:t>Slide 19/19: (Untitled)</w:t>
      </w:r>
    </w:p>
    <w:p>
      <w:r>
        <w:rPr>
          <w:i/>
          <w:color w:val="888888"/>
        </w:rPr>
        <w:t>[Image placeholder]</w:t>
      </w:r>
    </w:p>
    <w:p>
      <w:pPr>
        <w:pStyle w:val="Heading2"/>
      </w:pPr>
      <w:r>
        <w:t>Assignment</w:t>
      </w:r>
    </w:p>
    <w:p>
      <w:r>
        <w:rPr>
          <w:b/>
          <w:color w:val="008800"/>
        </w:rPr>
        <w:t>[Assignment 07]: Approving Underwriting Issues</w:t>
      </w:r>
    </w:p>
    <w:p>
      <w:r>
        <w:rPr>
          <w:i/>
          <w:sz w:val="18"/>
        </w:rPr>
        <w:t>File: 07 - Approving Underwriting Issues.pdf</w:t>
      </w:r>
    </w:p>
    <w:p/>
    <w:p>
      <w:pPr>
        <w:spacing w:before="240"/>
        <w:jc w:val="center"/>
      </w:pPr>
      <w:r>
        <w:rPr>
          <w:i/>
          <w:color w:val="999999"/>
          <w:sz w:val="16"/>
        </w:rPr>
        <w:t>--- End of Lesson 7: Approving Underwriting Issues | 19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