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3: Configuring Claim Intake</w:t>
      </w:r>
    </w:p>
    <w:p>
      <w:pPr>
        <w:spacing w:after="40"/>
      </w:pPr>
      <w:r>
        <w:rPr>
          <w:i/>
          <w:color w:val="999999"/>
          <w:sz w:val="16"/>
        </w:rPr>
        <w:t>Source: 03 - Configuring Claim Intake.pptx</w:t>
      </w:r>
    </w:p>
    <w:p>
      <w:pPr>
        <w:pStyle w:val="Heading3"/>
      </w:pPr>
      <w:r>
        <w:t>Video References</w:t>
      </w:r>
    </w:p>
    <w:p>
      <w:pPr>
        <w:pStyle w:val="ListNumber"/>
      </w:pPr>
      <w:r>
        <w:rPr>
          <w:color w:val="0066CC"/>
          <w:sz w:val="20"/>
        </w:rPr>
        <w:t>[Video 1: CC_03_01.mp4]</w:t>
      </w:r>
    </w:p>
    <w:p>
      <w:pPr>
        <w:pStyle w:val="ListNumber"/>
      </w:pPr>
      <w:r>
        <w:rPr>
          <w:color w:val="0066CC"/>
          <w:sz w:val="20"/>
        </w:rPr>
        <w:t>[Video 2: CC_03_02.mp4]</w:t>
      </w:r>
    </w:p>
    <w:p>
      <w:pPr>
        <w:pStyle w:val="ListNumber"/>
      </w:pPr>
      <w:r>
        <w:rPr>
          <w:color w:val="0066CC"/>
          <w:sz w:val="20"/>
        </w:rPr>
        <w:t>[Video 3: CC_03_03.mp4]</w:t>
      </w:r>
    </w:p>
    <w:p>
      <w:pPr>
        <w:pStyle w:val="ListNumber"/>
      </w:pPr>
      <w:r>
        <w:rPr>
          <w:color w:val="0066CC"/>
          <w:sz w:val="20"/>
        </w:rPr>
        <w:t>[Video 4: CC_09_03.mp4]</w:t>
      </w:r>
    </w:p>
    <w:p>
      <w:pPr>
        <w:pStyle w:val="ListNumber"/>
      </w:pPr>
      <w:r>
        <w:rPr>
          <w:color w:val="0066CC"/>
          <w:sz w:val="20"/>
        </w:rPr>
        <w:t>[Video 5: CC_10_03.mp4]</w:t>
      </w:r>
    </w:p>
    <w:p>
      <w:pPr>
        <w:pStyle w:val="ListNumber"/>
      </w:pPr>
      <w:r>
        <w:rPr>
          <w:color w:val="0066CC"/>
          <w:sz w:val="20"/>
        </w:rPr>
        <w:t>[Video 6: CC_12_03.mp4]</w:t>
      </w:r>
    </w:p>
    <w:p>
      <w:pPr>
        <w:pStyle w:val="ListNumber"/>
      </w:pPr>
      <w:r>
        <w:rPr>
          <w:color w:val="0066CC"/>
          <w:sz w:val="20"/>
        </w:rPr>
        <w:t>[Video 7: CC_13_03.mp4]</w:t>
      </w:r>
    </w:p>
    <w:p>
      <w:pPr>
        <w:pStyle w:val="ListNumber"/>
      </w:pPr>
      <w:r>
        <w:rPr>
          <w:color w:val="0066CC"/>
          <w:sz w:val="20"/>
        </w:rPr>
        <w:t>[Video 8: CC_15_03.mp4]</w:t>
      </w:r>
    </w:p>
    <w:p/>
    <w:p>
      <w:pPr>
        <w:pStyle w:val="Heading2"/>
      </w:pPr>
      <w:r>
        <w:t>Slide Content</w:t>
      </w:r>
    </w:p>
    <w:p>
      <w:pPr>
        <w:pStyle w:val="Heading3"/>
      </w:pPr>
      <w:r>
        <w:rPr>
          <w:sz w:val="24"/>
        </w:rPr>
        <w:t>Slide 1/32: (Untitled)</w:t>
      </w:r>
    </w:p>
    <w:p>
      <w:r>
        <w:rPr>
          <w:i/>
          <w:color w:val="888888"/>
        </w:rPr>
        <w:t>[Image placeholder]</w:t>
      </w:r>
    </w:p>
    <w:p>
      <w:pPr>
        <w:pStyle w:val="Heading3"/>
      </w:pPr>
      <w:r>
        <w:rPr>
          <w:sz w:val="24"/>
        </w:rPr>
        <w:t>Slide 2/32: (Untitled)</w:t>
      </w:r>
    </w:p>
    <w:p>
      <w:r>
        <w:rPr>
          <w:i/>
          <w:color w:val="888888"/>
        </w:rPr>
        <w:t>[Image placeholder]</w:t>
      </w:r>
    </w:p>
    <w:p>
      <w:pPr>
        <w:pStyle w:val="Heading3"/>
      </w:pPr>
      <w:r>
        <w:rPr>
          <w:sz w:val="24"/>
        </w:rPr>
        <w:t>Slide 3/32: (Untitled)</w:t>
      </w:r>
    </w:p>
    <w:p>
      <w:r>
        <w:rPr>
          <w:i/>
          <w:color w:val="888888"/>
        </w:rPr>
        <w:t>[Image placeholder]</w:t>
      </w:r>
    </w:p>
    <w:p>
      <w:pPr>
        <w:pStyle w:val="Heading3"/>
      </w:pPr>
      <w:r>
        <w:rPr>
          <w:sz w:val="24"/>
        </w:rPr>
        <w:t>Slide 4/32: (Untitled)</w:t>
      </w:r>
    </w:p>
    <w:p>
      <w:r>
        <w:rPr>
          <w:i/>
          <w:color w:val="888888"/>
        </w:rPr>
        <w:t>[Image placeholder]</w:t>
      </w:r>
    </w:p>
    <w:p>
      <w:pPr>
        <w:spacing w:before="80" w:after="80"/>
        <w:shd w:fill="E8E8E8" w:val="clear"/>
      </w:pPr>
      <w:r>
        <w:rPr>
          <w:i/>
          <w:color w:val="444444"/>
          <w:sz w:val="18"/>
        </w:rPr>
        <w:t>Speaker Notes: Wizards</w:t>
        <w:br/>
        <w:t>This lesson discusses the FNOL (First Notice of Loss) Wizard, but there are several other wizards in the base application, most of which concern the creation of payments. The principles of organization for the FNOL Wizard apply to these other wizards as well.</w:t>
        <w:br/>
        <w:t>The steps available in a wizard can vary based on conditions like loss type and policy type. The steps shown above are for a Personal Auto claim.</w:t>
      </w:r>
    </w:p>
    <w:p>
      <w:pPr>
        <w:pStyle w:val="Heading3"/>
      </w:pPr>
      <w:r>
        <w:rPr>
          <w:sz w:val="24"/>
        </w:rPr>
        <w:t>Slide 5/32: (Untitled)</w:t>
      </w:r>
    </w:p>
    <w:p>
      <w:r>
        <w:rPr>
          <w:i/>
          <w:color w:val="888888"/>
        </w:rPr>
        <w:t>[Image placeholder]</w:t>
      </w:r>
    </w:p>
    <w:p>
      <w:pPr>
        <w:spacing w:before="80" w:after="80"/>
        <w:shd w:fill="E8E8E8" w:val="clear"/>
      </w:pPr>
      <w:r>
        <w:rPr>
          <w:i/>
          <w:color w:val="444444"/>
          <w:sz w:val="18"/>
        </w:rPr>
        <w:t xml:space="preserve">Speaker Notes: Comparing wizards to location groups </w:t>
        <w:br/>
        <w:t>Wizards — like location groups — are locations. Both have a side bar listing multiple pages or steps. They also have an info bar and actions menu which are shared by these screens.</w:t>
        <w:br/>
        <w:br/>
        <w:t>The principal difference between a wizard and a location group is that a wizard is a list of sequential  (and optionally non-sequential) screens, or steps, that together perform some complex task in a logical order</w:t>
      </w:r>
    </w:p>
    <w:p>
      <w:pPr>
        <w:pStyle w:val="Heading3"/>
      </w:pPr>
      <w:r>
        <w:rPr>
          <w:sz w:val="24"/>
        </w:rPr>
        <w:t>Slide 6/32: (Untitled)</w:t>
      </w:r>
    </w:p>
    <w:p>
      <w:r>
        <w:rPr>
          <w:i/>
          <w:color w:val="888888"/>
        </w:rPr>
        <w:t>[Image placeholder]</w:t>
      </w:r>
    </w:p>
    <w:p>
      <w:pPr>
        <w:spacing w:before="80" w:after="80"/>
        <w:shd w:fill="E8E8E8" w:val="clear"/>
      </w:pPr>
      <w:r>
        <w:rPr>
          <w:i/>
          <w:color w:val="444444"/>
          <w:sz w:val="18"/>
        </w:rPr>
        <w:t>Speaker Notes: Contrasting wizards to location groups</w:t>
        <w:br/>
        <w:t>A distinction needs to be made between step availability and menu link visibility. Visibility controls whether a menu link appears or not. This functionality is available to both wizard and non-wizard menu links.</w:t>
        <w:br/>
        <w:br/>
        <w:t>Availability controls whether a visible menu link is available or not. This functionality is also available to both wizard and non- wizard menu links.</w:t>
        <w:br/>
        <w:br/>
        <w:t>However, availability for a wizard menu link is typically based on where a user is within the wizard so that, for example, you cannot move directly from step two to step four without completing step three.</w:t>
        <w:br/>
        <w:br/>
        <w:t>Location within a wizard does not typically change a menu link’s visibilityt</w:t>
      </w:r>
    </w:p>
    <w:p>
      <w:pPr>
        <w:pStyle w:val="Heading3"/>
      </w:pPr>
      <w:r>
        <w:rPr>
          <w:sz w:val="24"/>
        </w:rPr>
        <w:t>Slide 7/32: (Untitled)</w:t>
      </w:r>
    </w:p>
    <w:p>
      <w:r>
        <w:rPr>
          <w:i/>
          <w:color w:val="888888"/>
        </w:rPr>
        <w:t>[Image placeholder]</w:t>
      </w:r>
    </w:p>
    <w:p>
      <w:pPr>
        <w:spacing w:before="80" w:after="80"/>
        <w:shd w:fill="E8E8E8" w:val="clear"/>
      </w:pPr>
      <w:r>
        <w:rPr>
          <w:i/>
          <w:color w:val="444444"/>
          <w:sz w:val="18"/>
        </w:rPr>
        <w:t>Speaker Notes: Wizard and Wizard Step Structure</w:t>
        <w:br/>
        <w:t>The architecture of a wizard is somewhat simpler than that of a location group. A wizard’s architecture consists of wizard steps, and each wizard step points directly to a screen.</w:t>
      </w:r>
    </w:p>
    <w:p>
      <w:pPr>
        <w:pStyle w:val="Heading3"/>
      </w:pPr>
      <w:r>
        <w:rPr>
          <w:sz w:val="24"/>
        </w:rPr>
        <w:t>Slide 8/32: (Untitled)</w:t>
      </w:r>
    </w:p>
    <w:p>
      <w:r>
        <w:rPr>
          <w:i/>
          <w:color w:val="888888"/>
        </w:rPr>
        <w:t>[Image placeholder]</w:t>
      </w:r>
    </w:p>
    <w:p>
      <w:pPr>
        <w:pStyle w:val="Heading3"/>
      </w:pPr>
      <w:r>
        <w:rPr>
          <w:sz w:val="24"/>
        </w:rPr>
        <w:t>Slide 9/32: (Untitled)</w:t>
      </w:r>
    </w:p>
    <w:p>
      <w:r>
        <w:rPr>
          <w:i/>
          <w:color w:val="888888"/>
        </w:rPr>
        <w:t>[Image placeholder]</w:t>
      </w:r>
    </w:p>
    <w:p>
      <w:pPr>
        <w:spacing w:before="80" w:after="80"/>
        <w:shd w:fill="E8E8E8" w:val="clear"/>
      </w:pPr>
      <w:r>
        <w:rPr>
          <w:i/>
          <w:color w:val="444444"/>
          <w:sz w:val="18"/>
        </w:rPr>
        <w:t>Speaker Notes: Wizard Entry Points</w:t>
        <w:br/>
        <w:t>In the example above, the FNOLWizard wizard has four entry points. The third entry point has a signature of  "FNOLWizard(Claim)". It expects a single object of type Claim, which is referred to within the PCF page as "Claim".</w:t>
        <w:br/>
        <w:br/>
        <w:t>Locations can have multiple entry points. This is useful when a single location can be referenced from different places with different known pieces of information.</w:t>
        <w:br/>
        <w:br/>
        <w:t>For example, the FNOLWizard can be accessed with no object (as seen in the first entry point), with a set of information including a Policy Type object (as seen in the second entry point), with a claim (as seen in the third entry point), or with a search criteria  (as seen in the fourth entry point).</w:t>
      </w:r>
    </w:p>
    <w:p>
      <w:pPr>
        <w:pStyle w:val="Heading3"/>
      </w:pPr>
      <w:r>
        <w:rPr>
          <w:sz w:val="24"/>
        </w:rPr>
        <w:t>Slide 10/32: (Untitled)</w:t>
      </w:r>
    </w:p>
    <w:p>
      <w:r>
        <w:rPr>
          <w:i/>
          <w:color w:val="888888"/>
        </w:rPr>
        <w:t>[Image placeholder]</w:t>
      </w:r>
    </w:p>
    <w:p>
      <w:pPr>
        <w:spacing w:before="80" w:after="80"/>
        <w:shd w:fill="E8E8E8" w:val="clear"/>
      </w:pPr>
      <w:r>
        <w:rPr>
          <w:i/>
          <w:color w:val="444444"/>
          <w:sz w:val="18"/>
        </w:rPr>
        <w:t>Speaker Notes: Navigating to a wizard</w:t>
        <w:br/>
        <w:t>Most navigation widgets have an action attribute, which defines where to navigate to when the widget is clicked. The syntax for an action attribute which navigates to a location is:</w:t>
        <w:br/>
        <w:t>pcf.LocationEntryPoint. method(objectList), where</w:t>
        <w:br/>
        <w:br/>
        <w:t>LocationEntryPoint is (one of) the location entry point(s) defined on the destination location's Entry Points tab.</w:t>
        <w:br/>
        <w:br/>
        <w:t>method is the method used to navigate to the location (which, for location groups, is almost always "go")-</w:t>
        <w:br/>
        <w:br/>
        <w:t xml:space="preserve">objectList is a comma- delimited list of zero to many objects. This list must match the number of objects and the type which are expected by the location entry point. </w:t>
        <w:br/>
        <w:t>In the example above, the Claim tab has a New Claim menu item- This menu item has an action of "FNOLWizard.go()". The go()  method indicates that clicking the menu item should navigate the user to that location. (The empty parentheses indicate that no object is to be passed to that location.) The location to navigate to is the one that has an entry point of "FNOLWizard".</w:t>
        <w:br/>
        <w:br/>
        <w:t>On the Entry Points tab of the FNOLWizard, four entry points have been defined,  including one which has no arguments. Because this corresponds to the menu item, this is the location to which the user will be navigated when the user clicks the menu item.</w:t>
      </w:r>
    </w:p>
    <w:p>
      <w:pPr>
        <w:pStyle w:val="Heading3"/>
      </w:pPr>
      <w:r>
        <w:rPr>
          <w:sz w:val="24"/>
        </w:rPr>
        <w:t>Slide 11/32: (Untitled)</w:t>
      </w:r>
    </w:p>
    <w:p>
      <w:r>
        <w:rPr>
          <w:i/>
          <w:color w:val="888888"/>
        </w:rPr>
        <w:t>[Image placeholder]</w:t>
      </w:r>
    </w:p>
    <w:p>
      <w:pPr>
        <w:pStyle w:val="Heading3"/>
      </w:pPr>
      <w:r>
        <w:rPr>
          <w:sz w:val="24"/>
        </w:rPr>
        <w:t>Slide 12/32: (Untitled)</w:t>
      </w:r>
    </w:p>
    <w:p>
      <w:pPr>
        <w:pStyle w:val="Heading3"/>
      </w:pPr>
      <w:r>
        <w:rPr>
          <w:sz w:val="24"/>
        </w:rPr>
        <w:t>Slide 13/32: (Untitled)</w:t>
      </w:r>
    </w:p>
    <w:p>
      <w:r>
        <w:rPr>
          <w:i/>
          <w:color w:val="888888"/>
        </w:rPr>
        <w:t>[Image placeholder]</w:t>
      </w:r>
    </w:p>
    <w:p>
      <w:pPr>
        <w:pStyle w:val="Heading3"/>
      </w:pPr>
      <w:r>
        <w:rPr>
          <w:sz w:val="24"/>
        </w:rPr>
        <w:t>Slide 14/32: (Untitled)</w:t>
      </w:r>
    </w:p>
    <w:p>
      <w:r>
        <w:rPr>
          <w:i/>
          <w:color w:val="888888"/>
        </w:rPr>
        <w:t>[Image placeholder]</w:t>
      </w:r>
    </w:p>
    <w:p>
      <w:pPr>
        <w:spacing w:before="80" w:after="80"/>
        <w:shd w:fill="E8E8E8" w:val="clear"/>
      </w:pPr>
      <w:r>
        <w:rPr>
          <w:i/>
          <w:color w:val="444444"/>
          <w:sz w:val="18"/>
        </w:rPr>
        <w:t>Speaker Notes: Variant Steps</w:t>
        <w:br/>
        <w:t>Note the differences between the Loss Details screen for an Auto policy and for a Worker’s Compensation policy.</w:t>
        <w:br/>
        <w:t>The next demo will explain how this is done.</w:t>
      </w:r>
    </w:p>
    <w:p>
      <w:pPr>
        <w:pStyle w:val="Heading3"/>
      </w:pPr>
      <w:r>
        <w:rPr>
          <w:sz w:val="24"/>
        </w:rPr>
        <w:t>Slide 15/32: (Untitled)</w:t>
      </w:r>
    </w:p>
    <w:p>
      <w:r>
        <w:rPr>
          <w:i/>
          <w:color w:val="888888"/>
        </w:rPr>
        <w:t>[Image placeholder]</w:t>
      </w:r>
    </w:p>
    <w:p>
      <w:pPr>
        <w:spacing w:before="80" w:after="80"/>
        <w:shd w:fill="E8E8E8" w:val="clear"/>
      </w:pPr>
      <w:r>
        <w:rPr>
          <w:i/>
          <w:color w:val="444444"/>
          <w:sz w:val="18"/>
        </w:rPr>
        <w:t>Speaker Notes: Mode property</w:t>
        <w:br/>
        <w:t>A PCF file can differ based on circumstances like the Loss Type of a claim. The different versions of the PCF are called modes.</w:t>
        <w:br/>
        <w:br/>
        <w:t>The different modes of the PCF file all have the same name, but with different suffixes. The SUfflX is a code drawn from a list. The list may be a defined object, as</w:t>
        <w:br/>
        <w:t>shown in the first example, or it can be an explicitly defined pair,  as in the second example.</w:t>
        <w:br/>
        <w:br/>
        <w:t>Only legitimate code values from the list are normally allowed. If the value of the mode property evaluates to something that does not match one of the modal suffixes for the PCF, a runtime error occurs — unless there is a -default mode in the modal set, in which case any value of the mode property that does not match any of the other modes defaults to that mode. For this reason, it is usually good practice to create a default mode for any modal PCF you create.</w:t>
      </w:r>
    </w:p>
    <w:p>
      <w:pPr>
        <w:pStyle w:val="Heading3"/>
      </w:pPr>
      <w:r>
        <w:rPr>
          <w:sz w:val="24"/>
        </w:rPr>
        <w:t>Slide 16/32: (Untitled)</w:t>
      </w:r>
    </w:p>
    <w:p>
      <w:r>
        <w:rPr>
          <w:i/>
          <w:color w:val="888888"/>
        </w:rPr>
        <w:t>[Image placeholder]</w:t>
      </w:r>
    </w:p>
    <w:p>
      <w:pPr>
        <w:spacing w:before="80" w:after="80"/>
        <w:shd w:fill="E8E8E8" w:val="clear"/>
      </w:pPr>
      <w:r>
        <w:rPr>
          <w:i/>
          <w:color w:val="444444"/>
          <w:sz w:val="18"/>
        </w:rPr>
        <w:t>Speaker Notes: Shared Section Mode</w:t>
        <w:br/>
        <w:t>The Shared Section Mode widget is clickable within Guidewire Studio. Selecting a mode from the widget displays the different modes of the panel set.</w:t>
        <w:br/>
        <w:br/>
        <w:t>Note that the mode property for the Panel or Input Set Ref isgenerated automatically by Studio, and cannot be edited.</w:t>
      </w:r>
    </w:p>
    <w:p>
      <w:pPr>
        <w:pStyle w:val="Heading3"/>
      </w:pPr>
      <w:r>
        <w:rPr>
          <w:sz w:val="24"/>
        </w:rPr>
        <w:t>Slide 17/32: (Untitled)</w:t>
      </w:r>
    </w:p>
    <w:p>
      <w:r>
        <w:rPr>
          <w:i/>
          <w:color w:val="888888"/>
        </w:rPr>
        <w:t>[Image placeholder]</w:t>
      </w:r>
    </w:p>
    <w:p>
      <w:pPr>
        <w:pStyle w:val="Heading3"/>
      </w:pPr>
      <w:r>
        <w:rPr>
          <w:sz w:val="24"/>
        </w:rPr>
        <w:t>Slide 18/32: (Untitled)</w:t>
      </w:r>
    </w:p>
    <w:p>
      <w:pPr>
        <w:pStyle w:val="Heading3"/>
      </w:pPr>
      <w:r>
        <w:rPr>
          <w:sz w:val="24"/>
        </w:rPr>
        <w:t>Slide 19/32: (Untitled)</w:t>
      </w:r>
    </w:p>
    <w:p>
      <w:r>
        <w:rPr>
          <w:i/>
          <w:color w:val="888888"/>
        </w:rPr>
        <w:t>[Image placeholder]</w:t>
      </w:r>
    </w:p>
    <w:p>
      <w:pPr>
        <w:spacing w:before="80" w:after="80"/>
        <w:shd w:fill="E8E8E8" w:val="clear"/>
      </w:pPr>
      <w:r>
        <w:rPr>
          <w:i/>
          <w:color w:val="444444"/>
          <w:sz w:val="18"/>
        </w:rPr>
        <w:t>Speaker Notes: Order of wizard steps</w:t>
        <w:br/>
        <w:t>Like the locations in a location group, the steps of a wizard are simply listed sequentially. This list defines the order in which the steps are presented by the wizard in the side bar..</w:t>
        <w:br/>
        <w:br/>
        <w:t>The "Find Policy" step is at the top of the FNOLWizard.pcf file,  and applies to claims of all LOBs.  Steps 2 and onwards aredetermined by the LOB. The numbering shown above is the steps used by a General Liability claim.</w:t>
      </w:r>
    </w:p>
    <w:p>
      <w:pPr>
        <w:pStyle w:val="Heading3"/>
      </w:pPr>
      <w:r>
        <w:rPr>
          <w:sz w:val="24"/>
        </w:rPr>
        <w:t>Slide 20/32: (Untitled)</w:t>
      </w:r>
    </w:p>
    <w:p>
      <w:r>
        <w:rPr>
          <w:i/>
          <w:color w:val="888888"/>
        </w:rPr>
        <w:t>[Image placeholder]</w:t>
      </w:r>
    </w:p>
    <w:p>
      <w:pPr>
        <w:spacing w:before="80" w:after="80"/>
        <w:shd w:fill="E8E8E8" w:val="clear"/>
      </w:pPr>
      <w:r>
        <w:rPr>
          <w:i/>
          <w:color w:val="444444"/>
          <w:sz w:val="18"/>
        </w:rPr>
        <w:t>Speaker Notes: Steps in the wizard</w:t>
        <w:br/>
        <w:t>The wizard step above is instructive. From the id* property, we know that it represents the Services step of the FNOL wizard.</w:t>
        <w:br/>
        <w:br/>
        <w:t>The screen* propeny tells us the screen which is displayed by this  wizard step.</w:t>
        <w:br/>
        <w:br/>
        <w:t>The mode property tells us that there are multiple modes of the screen, and that the mode is selected based on the loss type of the claim.</w:t>
        <w:br/>
        <w:br/>
        <w:t>Because the allowFinish property is set to true, we know that the user can click the Finish button from this step.</w:t>
        <w:br/>
        <w:br/>
        <w:t>Because the available property is set to something other than true, we know that this screen is not available for all claims.</w:t>
      </w:r>
    </w:p>
    <w:p>
      <w:pPr>
        <w:pStyle w:val="Heading3"/>
      </w:pPr>
      <w:r>
        <w:rPr>
          <w:sz w:val="24"/>
        </w:rPr>
        <w:t>Slide 21/32: (Untitled)</w:t>
      </w:r>
    </w:p>
    <w:p>
      <w:r>
        <w:rPr>
          <w:i/>
          <w:color w:val="888888"/>
        </w:rPr>
        <w:t>[Image placeholder]</w:t>
      </w:r>
    </w:p>
    <w:p>
      <w:pPr>
        <w:spacing w:before="80" w:after="80"/>
        <w:shd w:fill="E8E8E8" w:val="clear"/>
      </w:pPr>
      <w:r>
        <w:rPr>
          <w:i/>
          <w:color w:val="444444"/>
          <w:sz w:val="18"/>
        </w:rPr>
        <w:t>Speaker Notes: Step sets in the Wizard</w:t>
        <w:br/>
        <w:t>The Wizard Step Set serves the purpose of grouping several steps and giving them common availability and visibility properties. Within the step set,  the individual steps often have their available and visible properties set to true, so that whenever the step set is available and visible, so are the individual steps.</w:t>
        <w:br/>
        <w:br/>
        <w:t>To add a step to a step set, drag it from the toolbox and drop it in the appropriate spot.</w:t>
      </w:r>
    </w:p>
    <w:p>
      <w:pPr>
        <w:pStyle w:val="Heading3"/>
      </w:pPr>
      <w:r>
        <w:rPr>
          <w:sz w:val="24"/>
        </w:rPr>
        <w:t>Slide 22/32: (Untitled)</w:t>
      </w:r>
    </w:p>
    <w:p>
      <w:r>
        <w:rPr>
          <w:i/>
          <w:color w:val="888888"/>
        </w:rPr>
        <w:t>[Image placeholder]</w:t>
      </w:r>
    </w:p>
    <w:p>
      <w:pPr>
        <w:pStyle w:val="Heading3"/>
      </w:pPr>
      <w:r>
        <w:rPr>
          <w:sz w:val="24"/>
        </w:rPr>
        <w:t>Slide 23/32: (Untitled)</w:t>
      </w:r>
    </w:p>
    <w:p>
      <w:pPr>
        <w:pStyle w:val="Heading3"/>
      </w:pPr>
      <w:r>
        <w:rPr>
          <w:sz w:val="24"/>
        </w:rPr>
        <w:t>Slide 24/32: (Untitled)</w:t>
      </w:r>
    </w:p>
    <w:p>
      <w:r>
        <w:rPr>
          <w:i/>
          <w:color w:val="888888"/>
        </w:rPr>
        <w:t>[Image placeholder]</w:t>
      </w:r>
    </w:p>
    <w:p>
      <w:pPr>
        <w:pStyle w:val="Heading3"/>
      </w:pPr>
      <w:r>
        <w:rPr>
          <w:sz w:val="24"/>
        </w:rPr>
        <w:t>Slide 25/32: (Untitled)</w:t>
      </w:r>
    </w:p>
    <w:p>
      <w:r>
        <w:rPr>
          <w:i/>
          <w:color w:val="888888"/>
        </w:rPr>
        <w:t>[Image placeholder]</w:t>
      </w:r>
    </w:p>
    <w:p>
      <w:pPr>
        <w:pStyle w:val="Heading3"/>
      </w:pPr>
      <w:r>
        <w:rPr>
          <w:sz w:val="24"/>
        </w:rPr>
        <w:t>Slide 26/32: (Untitled)</w:t>
      </w:r>
    </w:p>
    <w:p>
      <w:r>
        <w:rPr>
          <w:i/>
          <w:color w:val="888888"/>
        </w:rPr>
        <w:t>[Image placeholder]</w:t>
      </w:r>
    </w:p>
    <w:p>
      <w:pPr>
        <w:pStyle w:val="Heading3"/>
      </w:pPr>
      <w:r>
        <w:rPr>
          <w:sz w:val="24"/>
        </w:rPr>
        <w:t>Slide 27/32: (Untitled)</w:t>
      </w:r>
    </w:p>
    <w:p>
      <w:r>
        <w:rPr>
          <w:i/>
          <w:color w:val="888888"/>
        </w:rPr>
        <w:t>[Image placeholder]</w:t>
      </w:r>
    </w:p>
    <w:p>
      <w:pPr>
        <w:pStyle w:val="Heading3"/>
      </w:pPr>
      <w:r>
        <w:rPr>
          <w:sz w:val="24"/>
        </w:rPr>
        <w:t>Slide 28/32: (Untitled)</w:t>
      </w:r>
    </w:p>
    <w:p>
      <w:r>
        <w:rPr>
          <w:i/>
          <w:color w:val="888888"/>
        </w:rPr>
        <w:t>[Image placeholder]</w:t>
      </w:r>
    </w:p>
    <w:p>
      <w:pPr>
        <w:pStyle w:val="Heading3"/>
      </w:pPr>
      <w:r>
        <w:rPr>
          <w:sz w:val="24"/>
        </w:rPr>
        <w:t>Slide 29/32: (Untitled)</w:t>
      </w:r>
    </w:p>
    <w:p>
      <w:r>
        <w:rPr>
          <w:i/>
          <w:color w:val="888888"/>
        </w:rPr>
        <w:t>[Image placeholder]</w:t>
      </w:r>
    </w:p>
    <w:p>
      <w:pPr>
        <w:pStyle w:val="Heading3"/>
      </w:pPr>
      <w:r>
        <w:rPr>
          <w:sz w:val="24"/>
        </w:rPr>
        <w:t>Slide 30/32: (Untitled)</w:t>
      </w:r>
    </w:p>
    <w:p>
      <w:r>
        <w:rPr>
          <w:i/>
          <w:color w:val="888888"/>
        </w:rPr>
        <w:t>[Image placeholder]</w:t>
      </w:r>
    </w:p>
    <w:p>
      <w:pPr>
        <w:pStyle w:val="Heading3"/>
      </w:pPr>
      <w:r>
        <w:rPr>
          <w:sz w:val="24"/>
        </w:rPr>
        <w:t>Slide 31/32: (Untitled)</w:t>
      </w:r>
    </w:p>
    <w:p>
      <w:r>
        <w:rPr>
          <w:i/>
          <w:color w:val="888888"/>
        </w:rPr>
        <w:t>[Image placeholder]</w:t>
      </w:r>
    </w:p>
    <w:p>
      <w:pPr>
        <w:pStyle w:val="Heading3"/>
      </w:pPr>
      <w:r>
        <w:rPr>
          <w:sz w:val="24"/>
        </w:rPr>
        <w:t>Slide 32/32: (Untitled)</w:t>
      </w:r>
    </w:p>
    <w:p>
      <w:r>
        <w:rPr>
          <w:i/>
          <w:color w:val="888888"/>
        </w:rPr>
        <w:t>[Image placeholder]</w:t>
      </w:r>
    </w:p>
    <w:p>
      <w:pPr>
        <w:pStyle w:val="Heading2"/>
      </w:pPr>
      <w:r>
        <w:t>Assignment</w:t>
      </w:r>
    </w:p>
    <w:p>
      <w:r>
        <w:rPr>
          <w:b/>
          <w:color w:val="008800"/>
        </w:rPr>
        <w:t>[Assignment 03]: Configuring Claim Intake</w:t>
      </w:r>
    </w:p>
    <w:p>
      <w:r>
        <w:rPr>
          <w:i/>
          <w:sz w:val="18"/>
        </w:rPr>
        <w:t>File: 03 - Configuring Claim Intake.pdf</w:t>
      </w:r>
    </w:p>
    <w:p/>
    <w:p>
      <w:pPr>
        <w:spacing w:before="240"/>
        <w:jc w:val="center"/>
      </w:pPr>
      <w:r>
        <w:rPr>
          <w:i/>
          <w:color w:val="999999"/>
          <w:sz w:val="16"/>
        </w:rPr>
        <w:t>--- End of Lesson 3: Configuring Claim Intake | 32 slides | 8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