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1A"/>
          <w:sz w:val="36"/>
        </w:rPr>
        <w:t>Chapter 09: ClaimCenter Configuration</w:t>
      </w:r>
    </w:p>
    <w:p>
      <w:pPr>
        <w:pStyle w:val="Heading2"/>
      </w:pPr>
      <w:r>
        <w:rPr>
          <w:color w:val="333333"/>
          <w:sz w:val="28"/>
        </w:rPr>
        <w:t>Lesson 4: Writing Gosu Rules</w:t>
      </w:r>
    </w:p>
    <w:p>
      <w:pPr>
        <w:spacing w:after="40"/>
      </w:pPr>
      <w:r>
        <w:rPr>
          <w:i/>
          <w:color w:val="999999"/>
          <w:sz w:val="16"/>
        </w:rPr>
        <w:t>Source: 04 - Writing Gosu Rules.pptx</w:t>
      </w:r>
    </w:p>
    <w:p>
      <w:pPr>
        <w:pStyle w:val="Heading3"/>
      </w:pPr>
      <w:r>
        <w:t>Video References</w:t>
      </w:r>
    </w:p>
    <w:p>
      <w:pPr>
        <w:pStyle w:val="ListNumber"/>
      </w:pPr>
      <w:r>
        <w:rPr>
          <w:color w:val="0066CC"/>
          <w:sz w:val="20"/>
        </w:rPr>
        <w:t>[Video 1: CC_04_01.mp4]</w:t>
      </w:r>
    </w:p>
    <w:p/>
    <w:p>
      <w:pPr>
        <w:pStyle w:val="Heading2"/>
      </w:pPr>
      <w:r>
        <w:t>Slide Content</w:t>
      </w:r>
    </w:p>
    <w:p>
      <w:pPr>
        <w:pStyle w:val="Heading3"/>
      </w:pPr>
      <w:r>
        <w:rPr>
          <w:sz w:val="24"/>
        </w:rPr>
        <w:t>Slide 1/30: (Untitled)</w:t>
      </w:r>
    </w:p>
    <w:p>
      <w:r>
        <w:rPr>
          <w:i/>
          <w:color w:val="888888"/>
        </w:rPr>
        <w:t>[Image placeholder]</w:t>
      </w:r>
    </w:p>
    <w:p>
      <w:pPr>
        <w:pStyle w:val="Heading3"/>
      </w:pPr>
      <w:r>
        <w:rPr>
          <w:sz w:val="24"/>
        </w:rPr>
        <w:t>Slide 2/30: (Untitled)</w:t>
      </w:r>
    </w:p>
    <w:p>
      <w:r>
        <w:rPr>
          <w:i/>
          <w:color w:val="888888"/>
        </w:rPr>
        <w:t>[Image placeholder]</w:t>
      </w:r>
    </w:p>
    <w:p>
      <w:pPr>
        <w:pStyle w:val="Heading3"/>
      </w:pPr>
      <w:r>
        <w:rPr>
          <w:sz w:val="24"/>
        </w:rPr>
        <w:t>Slide 3/30: (Untitled)</w:t>
      </w:r>
    </w:p>
    <w:p>
      <w:r>
        <w:rPr>
          <w:i/>
          <w:color w:val="888888"/>
        </w:rPr>
        <w:t>[Image placeholder]</w:t>
      </w:r>
    </w:p>
    <w:p>
      <w:pPr>
        <w:pStyle w:val="Heading3"/>
      </w:pPr>
      <w:r>
        <w:rPr>
          <w:sz w:val="24"/>
        </w:rPr>
        <w:t>Slide 4/30: (Untitled)</w:t>
      </w:r>
    </w:p>
    <w:p>
      <w:r>
        <w:rPr>
          <w:i/>
          <w:color w:val="888888"/>
        </w:rPr>
        <w:t>[Image placeholder]</w:t>
      </w:r>
    </w:p>
    <w:p>
      <w:pPr>
        <w:spacing w:before="80" w:after="80"/>
        <w:shd w:fill="E8E8E8" w:val="clear"/>
      </w:pPr>
      <w:r>
        <w:rPr>
          <w:i/>
          <w:color w:val="444444"/>
          <w:sz w:val="18"/>
        </w:rPr>
        <w:t>Speaker Notes: Gosu rules</w:t>
        <w:br/>
        <w:t xml:space="preserve">The Guidewire Platform provides four broad areas of functionality that are used in the individual Guidewire InsuranceSuite applications, such as ClaimCenter- The area of functionality we are concerned with in this lesson is Gosu rules.  </w:t>
        <w:br/>
        <w:br/>
        <w:t>Gosu rules are a way of customizing and executing the business logic required for claims processing. They are written in Gosu, an open-source programming language created by Guidewire.  For more information about Gosu rules see the Rules Guide in the ClaimCenter documentation.</w:t>
      </w:r>
    </w:p>
    <w:p>
      <w:pPr>
        <w:pStyle w:val="Heading3"/>
      </w:pPr>
      <w:r>
        <w:rPr>
          <w:sz w:val="24"/>
        </w:rPr>
        <w:t>Slide 5/30: (Untitled)</w:t>
      </w:r>
    </w:p>
    <w:p>
      <w:r>
        <w:rPr>
          <w:i/>
          <w:color w:val="888888"/>
        </w:rPr>
        <w:t>[Image placeholder]</w:t>
      </w:r>
    </w:p>
    <w:p>
      <w:pPr>
        <w:spacing w:before="80" w:after="80"/>
        <w:shd w:fill="E8E8E8" w:val="clear"/>
      </w:pPr>
      <w:r>
        <w:rPr>
          <w:i/>
          <w:color w:val="444444"/>
          <w:sz w:val="18"/>
        </w:rPr>
        <w:t>Speaker Notes: Rule Sets</w:t>
        <w:br/>
        <w:t>Rule sets are logical groupings of Gosu rules. In the base configuration, Gosu rules are grouped by triggering event. The Gosu rules within a Rule Set can be grouped in a way that is logical for your underlying business processes.</w:t>
        <w:br/>
        <w:br/>
        <w:t>You must implement rule sets before implementing rules, as rules can only exist in rule sets. You can implement a new rule set within a rule category; however, that is beyond the scope of this lesson.</w:t>
        <w:br/>
        <w:br/>
        <w:t>Note that the Gosu rules in the Activity Escalation Rules rule set begin with AER (Activity Escalation Rules), and have numbers that show the hierarchical grouping. Similar prefixes and hierarchical numbering are used in all the rule sets in the ClaimCenter base configuratiom The best practice is to use this scheme (3-4 characters for rule set and 5 for a hierarchy-reflecting number), because the use of these codes in logging can be very helpful. You may choose not to use this schema, but we recommend you adopt a logical schema for naming Gosu rules which allows easily traceable logging.</w:t>
      </w:r>
    </w:p>
    <w:p>
      <w:pPr>
        <w:pStyle w:val="Heading3"/>
      </w:pPr>
      <w:r>
        <w:rPr>
          <w:sz w:val="24"/>
        </w:rPr>
        <w:t>Slide 6/30: (Untitled)</w:t>
      </w:r>
    </w:p>
    <w:p>
      <w:r>
        <w:rPr>
          <w:i/>
          <w:color w:val="888888"/>
        </w:rPr>
        <w:t>[Image placeholder]</w:t>
      </w:r>
    </w:p>
    <w:p>
      <w:pPr>
        <w:spacing w:before="80" w:after="80"/>
        <w:shd w:fill="E8E8E8" w:val="clear"/>
      </w:pPr>
      <w:r>
        <w:rPr>
          <w:i/>
          <w:color w:val="444444"/>
          <w:sz w:val="18"/>
        </w:rPr>
        <w:t>Speaker Notes: Rule Sets hierarchy</w:t>
        <w:br/>
        <w:t>If a parent rule's condition evaluates as True, then the parent's child rules will begin processing. This is a way to avoid unnecessary processing; one condition can act as a "guardian“ for many related rules.</w:t>
        <w:br/>
        <w:br/>
        <w:t xml:space="preserve"> The parent can also simply be a useful way of grouping related rules.</w:t>
        <w:br/>
        <w:br/>
        <w:t>In the screenshot, the Gosu Rule ZSI Triggers" has its Condition set to True, so its two children, "Life Cycle Stage 1" and "SIU Life Cycle Stage 2", will always be processed. This is simply a way of grouping these rules. However, the child rules have conditions which, if true, trigger their own children (the •grandchildren" of ZSI Triggers", as it were). Each of the two "Sl Triggers" has a Condition that evaluates the SIULifeCycleState property of the claim. If the property value is STEP 1, then the "grandchildren“ of the first child rule will be executed; if it is STEP2, then the •grandchildren" of the second child rule will be executed.</w:t>
      </w:r>
    </w:p>
    <w:p>
      <w:pPr>
        <w:pStyle w:val="Heading3"/>
      </w:pPr>
      <w:r>
        <w:rPr>
          <w:sz w:val="24"/>
        </w:rPr>
        <w:t>Slide 7/30: (Untitled)</w:t>
      </w:r>
    </w:p>
    <w:p>
      <w:r>
        <w:rPr>
          <w:i/>
          <w:color w:val="888888"/>
        </w:rPr>
        <w:t>[Image placeholder]</w:t>
      </w:r>
    </w:p>
    <w:p>
      <w:pPr>
        <w:spacing w:before="80" w:after="80"/>
        <w:shd w:fill="E8E8E8" w:val="clear"/>
      </w:pPr>
      <w:r>
        <w:rPr>
          <w:i/>
          <w:color w:val="444444"/>
          <w:sz w:val="18"/>
        </w:rPr>
        <w:t>Speaker Notes: Triggering Events</w:t>
        <w:br/>
        <w:t>Each rule set is triggered by a specific event, and applies to a specific entity. For example, the Claim Closed rule set is triggered when a claim (the entity) is closed (the triggering event). In some cases, the rules are meant to be run regularly; the triggering event for these rules is the passage of a certain amount of time-</w:t>
        <w:br/>
        <w:br/>
        <w:t>Rule sets are organized into logical groupings called Rule Set Categories.</w:t>
      </w:r>
    </w:p>
    <w:p>
      <w:pPr>
        <w:pStyle w:val="Heading3"/>
      </w:pPr>
      <w:r>
        <w:rPr>
          <w:sz w:val="24"/>
        </w:rPr>
        <w:t>Slide 8/30: (Untitled)</w:t>
      </w:r>
    </w:p>
    <w:p>
      <w:r>
        <w:rPr>
          <w:i/>
          <w:color w:val="888888"/>
        </w:rPr>
        <w:t>[Image placeholder]</w:t>
      </w:r>
    </w:p>
    <w:p>
      <w:pPr>
        <w:spacing w:before="80" w:after="80"/>
        <w:shd w:fill="E8E8E8" w:val="clear"/>
      </w:pPr>
      <w:r>
        <w:rPr>
          <w:i/>
          <w:color w:val="444444"/>
          <w:sz w:val="18"/>
        </w:rPr>
        <w:t>Speaker Notes: Rule structure (1 of 2)</w:t>
        <w:br/>
        <w:t>If your rule calls a function without including the path, Studio will display it in red. To make the function available, you must provide the path in a uses clause. In many cases, Studio will even suggest the correct path to add to the uses clause.</w:t>
        <w:br/>
        <w:br/>
        <w:t>The condition of a rule can be arbitrarily complex, and can use any property or function of the base entity of the rule set, but it must be designed to return a Boolean value. Another reason for using parent/child rules is to break up, and thus simplify, complex rule conditions and make them easier to read and maintain.</w:t>
        <w:br/>
        <w:br/>
        <w:t>Likewise, the action can be arbitrarily complex. Everything in it needs to be related in some way to the base entity of the rule set or gw-rules.Action.</w:t>
      </w:r>
    </w:p>
    <w:p>
      <w:pPr>
        <w:pStyle w:val="Heading3"/>
      </w:pPr>
      <w:r>
        <w:rPr>
          <w:sz w:val="24"/>
        </w:rPr>
        <w:t>Slide 9/30: (Untitled)</w:t>
      </w:r>
    </w:p>
    <w:p>
      <w:r>
        <w:rPr>
          <w:i/>
          <w:color w:val="888888"/>
        </w:rPr>
        <w:t>[Image placeholder]</w:t>
      </w:r>
    </w:p>
    <w:p>
      <w:pPr>
        <w:spacing w:before="80" w:after="80"/>
        <w:shd w:fill="E8E8E8" w:val="clear"/>
      </w:pPr>
      <w:r>
        <w:rPr>
          <w:i/>
          <w:color w:val="444444"/>
          <w:sz w:val="18"/>
        </w:rPr>
        <w:t>Speaker Notes: Rule structure(2 of 2)</w:t>
        <w:br/>
        <w:t>If your rule calls a function without including the path, Studio will display it in red. To make the function available, you must provide the path in a uses clause. In many cases, Studio will even suggest the correct path to add to the uses clause.</w:t>
        <w:br/>
        <w:br/>
        <w:t>The condition of a rule can be arbitrarily complex, and can use any property or function of the base entity of the rule set, but it must be designed to return a Boolean value. Another reason for using parent/child rules is to break up, and thus simplify, complex rule conditions and make them easier to read and maintain.</w:t>
        <w:br/>
        <w:br/>
        <w:t>Likewise, the action can be arbitrarily complex. Everything in it needs to be related in some way to the base entity of the rule set or gw-rules.Action.</w:t>
      </w:r>
    </w:p>
    <w:p>
      <w:pPr>
        <w:pStyle w:val="Heading3"/>
      </w:pPr>
      <w:r>
        <w:rPr>
          <w:sz w:val="24"/>
        </w:rPr>
        <w:t>Slide 10/30: (Untitled)</w:t>
      </w:r>
    </w:p>
    <w:p>
      <w:r>
        <w:rPr>
          <w:i/>
          <w:color w:val="888888"/>
        </w:rPr>
        <w:t>[Image placeholder]</w:t>
      </w:r>
    </w:p>
    <w:p>
      <w:pPr>
        <w:pStyle w:val="Heading3"/>
      </w:pPr>
      <w:r>
        <w:rPr>
          <w:sz w:val="24"/>
        </w:rPr>
        <w:t>Slide 11/30: (Untitled)</w:t>
      </w:r>
    </w:p>
    <w:p>
      <w:r>
        <w:rPr>
          <w:i/>
          <w:color w:val="888888"/>
        </w:rPr>
        <w:t>[Image placeholder]</w:t>
      </w:r>
    </w:p>
    <w:p>
      <w:pPr>
        <w:spacing w:before="80" w:after="80"/>
        <w:shd w:fill="E8E8E8" w:val="clear"/>
      </w:pPr>
      <w:r>
        <w:rPr>
          <w:i/>
          <w:color w:val="444444"/>
          <w:sz w:val="18"/>
        </w:rPr>
        <w:t>Speaker Notes: Exception rules</w:t>
        <w:br/>
        <w:t>Typical actions performed by Exception rules include sending an email (for example, to a supervisor); assigning an activity; or setting a flag field.</w:t>
        <w:br/>
        <w:br/>
        <w:t>Exceptions are fundamentally different from other rule types. Most rule sets trigger on Something just happened." The Exception rule set category is run on a regular schedule. When it is run, each top-level rule in each rule set checks to see if there are any objects that need attention. So you might say that the rules fire on "something happened recently" -</w:t>
      </w:r>
    </w:p>
    <w:p>
      <w:pPr>
        <w:pStyle w:val="Heading3"/>
      </w:pPr>
      <w:r>
        <w:rPr>
          <w:sz w:val="24"/>
        </w:rPr>
        <w:t>Slide 12/30: (Untitled)</w:t>
      </w:r>
    </w:p>
    <w:p>
      <w:r>
        <w:rPr>
          <w:i/>
          <w:color w:val="888888"/>
        </w:rPr>
        <w:t>[Image placeholder]</w:t>
      </w:r>
    </w:p>
    <w:p>
      <w:pPr>
        <w:spacing w:before="80" w:after="80"/>
        <w:shd w:fill="E8E8E8" w:val="clear"/>
      </w:pPr>
      <w:r>
        <w:rPr>
          <w:i/>
          <w:color w:val="444444"/>
          <w:sz w:val="18"/>
        </w:rPr>
        <w:t>Speaker Notes: Activity escalation rules</w:t>
        <w:br/>
        <w:t>When an activity is escalated, you generally want someone to do something about it. Activity escalation rules provide a mechanism for making sure that the "something" is done.</w:t>
        <w:br/>
        <w:br/>
        <w:t>There are two Activity Escalation Rules in the base configuration of ClaimCenter 10:</w:t>
        <w:br/>
        <w:br/>
        <w:t>AEROIOOO — sets a flag on high priority activities which have been escalated. AER02000 — sets a flag on urgent priority activities which have been escalated.</w:t>
        <w:br/>
        <w:br/>
        <w:t>A typical addition is a rule that creates an activity, assigned to the supervisor, telling them that a high priority activity has not been completed by its escalation date.</w:t>
      </w:r>
    </w:p>
    <w:p>
      <w:pPr>
        <w:pStyle w:val="Heading3"/>
      </w:pPr>
      <w:r>
        <w:rPr>
          <w:sz w:val="24"/>
        </w:rPr>
        <w:t>Slide 13/30: (Untitled)</w:t>
      </w:r>
    </w:p>
    <w:p>
      <w:r>
        <w:rPr>
          <w:i/>
          <w:color w:val="888888"/>
        </w:rPr>
        <w:t>[Image placeholder]</w:t>
      </w:r>
    </w:p>
    <w:p>
      <w:pPr>
        <w:spacing w:before="80" w:after="80"/>
        <w:shd w:fill="E8E8E8" w:val="clear"/>
      </w:pPr>
      <w:r>
        <w:rPr>
          <w:i/>
          <w:color w:val="444444"/>
          <w:sz w:val="18"/>
        </w:rPr>
        <w:t>Speaker Notes: Claim exception rules</w:t>
        <w:br/>
        <w:t>Claim exception rules do two things:</w:t>
        <w:br/>
        <w:br/>
        <w:t>They make sure that appropriate actions are performed on a claim that has recently been updated-</w:t>
        <w:br/>
        <w:br/>
        <w:t>They make sure that no claim gets lost in the shuffle.</w:t>
        <w:br/>
        <w:br/>
        <w:t>Batch processes add claims that need attention to a table called ClaimException, and the ClaimException rules run when the batch processes finish, taking appropriate actions-</w:t>
        <w:br/>
        <w:br/>
        <w:t>There are two active and three inactive Claim Exception Rules in the base configuration of ClaimCenter 10:</w:t>
        <w:br/>
        <w:br/>
        <w:t>CEROI 000 (active) — sets the Special Investigation Unit life cycle state for the claim CER02000 (inactive) - insures that there is at least one open activity for the owner of the claim CER03000 (inactive) - insures that there is at least one open activity for the owner of each exposure CER04000 (inactive) - recalculates claim metrics for all claims in the system CER05000 (active) – runs business rules on claims (see the Business Rules lesson in</w:t>
        <w:br/>
        <w:t>ClaimCenter Intro Kickstart The three inactive rules are frequently used in practice Some additional applications for claim exception rules:</w:t>
        <w:br/>
        <w:br/>
        <w:t>Create a Medicare follow up activity for open claims with injury incidents 15 days after the injured party is flagged as a Medicare recipient (statutory requirement to confirm eligibility)</w:t>
        <w:br/>
        <w:br/>
        <w:t>Create an activity for open claims with exposures where reserves have not been set within one day of exposure creation</w:t>
        <w:br/>
        <w:br/>
        <w:t>Create an activity for the claim owner when there are activities, exposures, or matters that are assigned to 'Default Owner' (to ensure that these are assigned to the appropriate person)</w:t>
      </w:r>
    </w:p>
    <w:p>
      <w:pPr>
        <w:pStyle w:val="Heading3"/>
      </w:pPr>
      <w:r>
        <w:rPr>
          <w:sz w:val="24"/>
        </w:rPr>
        <w:t>Slide 14/30: (Untitled)</w:t>
      </w:r>
    </w:p>
    <w:p>
      <w:r>
        <w:rPr>
          <w:i/>
          <w:color w:val="888888"/>
        </w:rPr>
        <w:t>[Image placeholder]</w:t>
      </w:r>
    </w:p>
    <w:p>
      <w:pPr>
        <w:spacing w:before="80" w:after="80"/>
        <w:shd w:fill="E8E8E8" w:val="clear"/>
      </w:pPr>
      <w:r>
        <w:rPr>
          <w:i/>
          <w:color w:val="444444"/>
          <w:sz w:val="18"/>
        </w:rPr>
        <w:t>Speaker Notes: Group exception rules</w:t>
        <w:br/>
        <w:t xml:space="preserve">When the group exception batch process executes, it tags groups that have changed or need some action performed. Then, the group exception rules are run and perform the appropriate actions. </w:t>
        <w:br/>
        <w:t>The schedule for executing the batch process is configurable.</w:t>
        <w:br/>
        <w:br/>
        <w:t>There are no Group Exception Rules in the base configuration of ClaimCenter 10.</w:t>
      </w:r>
    </w:p>
    <w:p>
      <w:pPr>
        <w:pStyle w:val="Heading3"/>
      </w:pPr>
      <w:r>
        <w:rPr>
          <w:sz w:val="24"/>
        </w:rPr>
        <w:t>Slide 15/30: (Untitled)</w:t>
      </w:r>
    </w:p>
    <w:p>
      <w:r>
        <w:rPr>
          <w:i/>
          <w:color w:val="888888"/>
        </w:rPr>
        <w:t>[Image placeholder]</w:t>
      </w:r>
    </w:p>
    <w:p>
      <w:pPr>
        <w:spacing w:before="80" w:after="80"/>
        <w:shd w:fill="E8E8E8" w:val="clear"/>
      </w:pPr>
      <w:r>
        <w:rPr>
          <w:i/>
          <w:color w:val="444444"/>
          <w:sz w:val="18"/>
        </w:rPr>
        <w:t>Speaker Notes: User exception rules</w:t>
        <w:br/>
        <w:t>The user exception batch process and rules are similar to those for groups, but they apply to users instead of groups. The execution time and interval of executing the batch process is configurable. However, we recommend that the user exceptions be dealt with shortly before the group exceptions, as changes in a user may result in changes to a group to which that user belongs.</w:t>
        <w:br/>
        <w:br/>
        <w:t>There are no User Exception Rules in the base configuration of ClaimCenter 10. A possible use case would be to detect users whose status is not On Vacation, and who have not logged in during the last weekday.</w:t>
      </w:r>
    </w:p>
    <w:p>
      <w:pPr>
        <w:pStyle w:val="Heading3"/>
      </w:pPr>
      <w:r>
        <w:rPr>
          <w:sz w:val="24"/>
        </w:rPr>
        <w:t>Slide 16/30: (Untitled)</w:t>
      </w:r>
    </w:p>
    <w:p>
      <w:r>
        <w:rPr>
          <w:i/>
          <w:color w:val="888888"/>
        </w:rPr>
        <w:t>[Image placeholder]</w:t>
      </w:r>
    </w:p>
    <w:p>
      <w:pPr>
        <w:pStyle w:val="Heading3"/>
      </w:pPr>
      <w:r>
        <w:rPr>
          <w:sz w:val="24"/>
        </w:rPr>
        <w:t>Slide 17/30: (Untitled)</w:t>
      </w:r>
    </w:p>
    <w:p>
      <w:pPr>
        <w:pStyle w:val="Heading3"/>
      </w:pPr>
      <w:r>
        <w:rPr>
          <w:sz w:val="24"/>
        </w:rPr>
        <w:t>Slide 18/30: (Untitled)</w:t>
      </w:r>
    </w:p>
    <w:p>
      <w:r>
        <w:rPr>
          <w:i/>
          <w:color w:val="888888"/>
        </w:rPr>
        <w:t>[Image placeholder]</w:t>
      </w:r>
    </w:p>
    <w:p>
      <w:pPr>
        <w:pStyle w:val="Heading3"/>
      </w:pPr>
      <w:r>
        <w:rPr>
          <w:sz w:val="24"/>
        </w:rPr>
        <w:t>Slide 19/30: (Untitled)</w:t>
      </w:r>
    </w:p>
    <w:p>
      <w:r>
        <w:rPr>
          <w:i/>
          <w:color w:val="888888"/>
        </w:rPr>
        <w:t>[Image placeholder]</w:t>
      </w:r>
    </w:p>
    <w:p>
      <w:pPr>
        <w:spacing w:before="80" w:after="80"/>
        <w:shd w:fill="E8E8E8" w:val="clear"/>
      </w:pPr>
      <w:r>
        <w:rPr>
          <w:i/>
          <w:color w:val="444444"/>
          <w:sz w:val="18"/>
        </w:rPr>
        <w:t>Speaker Notes: Preupdate rules</w:t>
        <w:br/>
        <w:t>Preupdate rules take care of any actions that need to be taken prior to saving an object.</w:t>
        <w:br/>
        <w:br/>
        <w:t>The example rule in the screenshot is Contact preupdate rule COPOIOOO, and it is a good example of a rule with a complex conditiom Basically, when a contact is saved to the database, this rule detects whether the contact's primary address has changed and, if it has, it changes the address appropriately on any checks outstanding for the contact.</w:t>
      </w:r>
    </w:p>
    <w:p>
      <w:pPr>
        <w:pStyle w:val="Heading3"/>
      </w:pPr>
      <w:r>
        <w:rPr>
          <w:sz w:val="24"/>
        </w:rPr>
        <w:t>Slide 20/30: (Untitled)</w:t>
      </w:r>
    </w:p>
    <w:p>
      <w:r>
        <w:rPr>
          <w:i/>
          <w:color w:val="888888"/>
        </w:rPr>
        <w:t>[Image placeholder]</w:t>
      </w:r>
    </w:p>
    <w:p>
      <w:pPr>
        <w:pStyle w:val="Heading3"/>
      </w:pPr>
      <w:r>
        <w:rPr>
          <w:sz w:val="24"/>
        </w:rPr>
        <w:t>Slide 21/30: (Untitled)</w:t>
      </w:r>
    </w:p>
    <w:p>
      <w:r>
        <w:rPr>
          <w:i/>
          <w:color w:val="888888"/>
        </w:rPr>
        <w:t>[Image placeholder]</w:t>
      </w:r>
    </w:p>
    <w:p>
      <w:pPr>
        <w:pStyle w:val="Heading3"/>
      </w:pPr>
      <w:r>
        <w:rPr>
          <w:sz w:val="24"/>
        </w:rPr>
        <w:t>Slide 22/30: (Untitled)</w:t>
      </w:r>
    </w:p>
    <w:p>
      <w:r>
        <w:rPr>
          <w:i/>
          <w:color w:val="888888"/>
        </w:rPr>
        <w:t>[Image placeholder]</w:t>
      </w:r>
    </w:p>
    <w:p>
      <w:pPr>
        <w:pStyle w:val="Heading3"/>
      </w:pPr>
      <w:r>
        <w:rPr>
          <w:sz w:val="24"/>
        </w:rPr>
        <w:t>Slide 23/30: (Untitled)</w:t>
      </w:r>
    </w:p>
    <w:p>
      <w:r>
        <w:rPr>
          <w:i/>
          <w:color w:val="888888"/>
        </w:rPr>
        <w:t>[Image placeholder]</w:t>
      </w:r>
    </w:p>
    <w:p>
      <w:pPr>
        <w:pStyle w:val="Heading3"/>
      </w:pPr>
      <w:r>
        <w:rPr>
          <w:sz w:val="24"/>
        </w:rPr>
        <w:t>Slide 24/30: (Untitled)</w:t>
      </w:r>
    </w:p>
    <w:p>
      <w:r>
        <w:rPr>
          <w:i/>
          <w:color w:val="888888"/>
        </w:rPr>
        <w:t>[Image placeholder]</w:t>
      </w:r>
    </w:p>
    <w:p>
      <w:pPr>
        <w:pStyle w:val="Heading3"/>
      </w:pPr>
      <w:r>
        <w:rPr>
          <w:sz w:val="24"/>
        </w:rPr>
        <w:t>Slide 25/30: (Untitled)</w:t>
      </w:r>
    </w:p>
    <w:p>
      <w:r>
        <w:rPr>
          <w:i/>
          <w:color w:val="888888"/>
        </w:rPr>
        <w:t>[Image placeholder]</w:t>
      </w:r>
    </w:p>
    <w:p>
      <w:pPr>
        <w:pStyle w:val="Heading3"/>
      </w:pPr>
      <w:r>
        <w:rPr>
          <w:sz w:val="24"/>
        </w:rPr>
        <w:t>Slide 26/30: (Untitled)</w:t>
      </w:r>
    </w:p>
    <w:p>
      <w:r>
        <w:rPr>
          <w:i/>
          <w:color w:val="888888"/>
        </w:rPr>
        <w:t>[Image placeholder]</w:t>
      </w:r>
    </w:p>
    <w:p>
      <w:pPr>
        <w:pStyle w:val="Heading3"/>
      </w:pPr>
      <w:r>
        <w:rPr>
          <w:sz w:val="24"/>
        </w:rPr>
        <w:t>Slide 27/30: (Untitled)</w:t>
      </w:r>
    </w:p>
    <w:p>
      <w:r>
        <w:rPr>
          <w:i/>
          <w:color w:val="888888"/>
        </w:rPr>
        <w:t>[Image placeholder]</w:t>
      </w:r>
    </w:p>
    <w:p>
      <w:pPr>
        <w:pStyle w:val="Heading3"/>
      </w:pPr>
      <w:r>
        <w:rPr>
          <w:sz w:val="24"/>
        </w:rPr>
        <w:t>Slide 28/30: (Untitled)</w:t>
      </w:r>
    </w:p>
    <w:p>
      <w:r>
        <w:rPr>
          <w:i/>
          <w:color w:val="888888"/>
        </w:rPr>
        <w:t>[Image placeholder]</w:t>
      </w:r>
    </w:p>
    <w:p>
      <w:pPr>
        <w:pStyle w:val="Heading3"/>
      </w:pPr>
      <w:r>
        <w:rPr>
          <w:sz w:val="24"/>
        </w:rPr>
        <w:t>Slide 29/30: (Untitled)</w:t>
      </w:r>
    </w:p>
    <w:p>
      <w:r>
        <w:rPr>
          <w:i/>
          <w:color w:val="888888"/>
        </w:rPr>
        <w:t>[Image placeholder]</w:t>
      </w:r>
    </w:p>
    <w:p>
      <w:pPr>
        <w:pStyle w:val="Heading3"/>
      </w:pPr>
      <w:r>
        <w:rPr>
          <w:sz w:val="24"/>
        </w:rPr>
        <w:t>Slide 30/30: (Untitled)</w:t>
      </w:r>
    </w:p>
    <w:p>
      <w:r>
        <w:rPr>
          <w:i/>
          <w:color w:val="888888"/>
        </w:rPr>
        <w:t>[Image placeholder]</w:t>
      </w:r>
    </w:p>
    <w:p>
      <w:pPr>
        <w:pStyle w:val="Heading2"/>
      </w:pPr>
      <w:r>
        <w:t>Assignment</w:t>
      </w:r>
    </w:p>
    <w:p>
      <w:r>
        <w:rPr>
          <w:b/>
          <w:color w:val="008800"/>
        </w:rPr>
        <w:t>[Assignment 04]: Writing Gosu rules</w:t>
      </w:r>
    </w:p>
    <w:p>
      <w:r>
        <w:rPr>
          <w:i/>
          <w:sz w:val="18"/>
        </w:rPr>
        <w:t>File: 04 - Writing Gosu rules.pdf</w:t>
      </w:r>
    </w:p>
    <w:p/>
    <w:p>
      <w:pPr>
        <w:spacing w:before="240"/>
        <w:jc w:val="center"/>
      </w:pPr>
      <w:r>
        <w:rPr>
          <w:i/>
          <w:color w:val="999999"/>
          <w:sz w:val="16"/>
        </w:rPr>
        <w:t>--- End of Lesson 4: Writing Gosu Rules | 30 slides | 1 videos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