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1A1A"/>
          <w:sz w:val="36"/>
        </w:rPr>
        <w:t>Chapter 09: ClaimCenter Configuration</w:t>
      </w:r>
    </w:p>
    <w:p>
      <w:pPr>
        <w:pStyle w:val="Heading2"/>
      </w:pPr>
      <w:r>
        <w:rPr>
          <w:color w:val="333333"/>
          <w:sz w:val="28"/>
        </w:rPr>
        <w:t>Lesson 5: Writing Assignment Rules</w:t>
      </w:r>
    </w:p>
    <w:p>
      <w:pPr>
        <w:spacing w:after="40"/>
      </w:pPr>
      <w:r>
        <w:rPr>
          <w:i/>
          <w:color w:val="999999"/>
          <w:sz w:val="16"/>
        </w:rPr>
        <w:t>Source: 05 - Writing Assignment Rules.pptx</w:t>
      </w:r>
    </w:p>
    <w:p>
      <w:pPr>
        <w:pStyle w:val="Heading3"/>
      </w:pPr>
      <w:r>
        <w:t>Video References</w:t>
      </w:r>
    </w:p>
    <w:p>
      <w:pPr>
        <w:pStyle w:val="ListNumber"/>
      </w:pPr>
      <w:r>
        <w:rPr>
          <w:color w:val="0066CC"/>
          <w:sz w:val="20"/>
        </w:rPr>
        <w:t>[Video 1: CC_05_01.mp4]</w:t>
      </w:r>
    </w:p>
    <w:p>
      <w:pPr>
        <w:pStyle w:val="ListNumber"/>
      </w:pPr>
      <w:r>
        <w:rPr>
          <w:color w:val="0066CC"/>
          <w:sz w:val="20"/>
        </w:rPr>
        <w:t>[Video 2: CC_05_02.mp4]</w:t>
      </w:r>
    </w:p>
    <w:p/>
    <w:p>
      <w:pPr>
        <w:pStyle w:val="Heading2"/>
      </w:pPr>
      <w:r>
        <w:t>Slide Content</w:t>
      </w:r>
    </w:p>
    <w:p>
      <w:pPr>
        <w:pStyle w:val="Heading3"/>
      </w:pPr>
      <w:r>
        <w:rPr>
          <w:sz w:val="24"/>
        </w:rPr>
        <w:t>Slide 1/31: (Untitled)</w:t>
      </w:r>
    </w:p>
    <w:p>
      <w:r>
        <w:rPr>
          <w:i/>
          <w:color w:val="888888"/>
        </w:rPr>
        <w:t>[Image placeholder]</w:t>
      </w:r>
    </w:p>
    <w:p>
      <w:pPr>
        <w:pStyle w:val="Heading3"/>
      </w:pPr>
      <w:r>
        <w:rPr>
          <w:sz w:val="24"/>
        </w:rPr>
        <w:t>Slide 2/31: (Untitled)</w:t>
      </w:r>
    </w:p>
    <w:p>
      <w:r>
        <w:rPr>
          <w:i/>
          <w:color w:val="888888"/>
        </w:rPr>
        <w:t>[Image placeholder]</w:t>
      </w:r>
    </w:p>
    <w:p>
      <w:pPr>
        <w:pStyle w:val="Heading3"/>
      </w:pPr>
      <w:r>
        <w:rPr>
          <w:sz w:val="24"/>
        </w:rPr>
        <w:t>Slide 3/31: (Untitled)</w:t>
      </w:r>
    </w:p>
    <w:p>
      <w:r>
        <w:rPr>
          <w:i/>
          <w:color w:val="888888"/>
        </w:rPr>
        <w:t>[Image placeholder]</w:t>
      </w:r>
    </w:p>
    <w:p>
      <w:pPr>
        <w:pStyle w:val="Heading3"/>
      </w:pPr>
      <w:r>
        <w:rPr>
          <w:sz w:val="24"/>
        </w:rPr>
        <w:t>Slide 4/31: (Untitled)</w:t>
      </w:r>
    </w:p>
    <w:p>
      <w:r>
        <w:rPr>
          <w:i/>
          <w:color w:val="888888"/>
        </w:rPr>
        <w:t>[Image placeholder]</w:t>
      </w:r>
    </w:p>
    <w:p>
      <w:pPr>
        <w:spacing w:before="80" w:after="80"/>
        <w:shd w:fill="E8E8E8" w:val="clear"/>
      </w:pPr>
      <w:r>
        <w:rPr>
          <w:i/>
          <w:color w:val="444444"/>
          <w:sz w:val="18"/>
        </w:rPr>
        <w:t>Speaker Notes: What can be assigned?</w:t>
        <w:br/>
        <w:t>ClaimCenter can automatically assign entities to users using assignment rules. In the base configuration, there are six types of entities that can be assigned: Claims, Exposures, Matters,  Subrogations, Service Requests, and Activities. It is possible to configure ClaimCenter to assign other entity types.</w:t>
        <w:br/>
        <w:br/>
        <w:t>Recall that users are members of groups. An entity is assigned first to agroup, and then to a user within that group.</w:t>
      </w:r>
    </w:p>
    <w:p>
      <w:pPr>
        <w:pStyle w:val="Heading3"/>
      </w:pPr>
      <w:r>
        <w:rPr>
          <w:sz w:val="24"/>
        </w:rPr>
        <w:t>Slide 5/31: (Untitled)</w:t>
      </w:r>
    </w:p>
    <w:p>
      <w:r>
        <w:rPr>
          <w:i/>
          <w:color w:val="888888"/>
        </w:rPr>
        <w:t>[Image placeholder]</w:t>
      </w:r>
    </w:p>
    <w:p>
      <w:pPr>
        <w:spacing w:before="80" w:after="80"/>
        <w:shd w:fill="E8E8E8" w:val="clear"/>
      </w:pPr>
      <w:r>
        <w:rPr>
          <w:i/>
          <w:color w:val="444444"/>
          <w:sz w:val="18"/>
        </w:rPr>
        <w:t>Speaker Notes: Queues</w:t>
        <w:br/>
        <w:t>A queue is a place where activities wait to be assigned to a user. A queue is associated with a group.</w:t>
        <w:br/>
        <w:t>A queue defined on a parent group can be made visible to all child groups so that users of the parent and child groups can all access activities on the queue. Group members with the necessary permissions can assign activities from the queue to themselves or to other users.</w:t>
      </w:r>
    </w:p>
    <w:p>
      <w:pPr>
        <w:pStyle w:val="Heading3"/>
      </w:pPr>
      <w:r>
        <w:rPr>
          <w:sz w:val="24"/>
        </w:rPr>
        <w:t>Slide 6/31: (Untitled)</w:t>
      </w:r>
    </w:p>
    <w:p>
      <w:r>
        <w:rPr>
          <w:i/>
          <w:color w:val="888888"/>
        </w:rPr>
        <w:t>[Image placeholder]</w:t>
      </w:r>
    </w:p>
    <w:p>
      <w:pPr>
        <w:spacing w:before="80" w:after="80"/>
        <w:shd w:fill="E8E8E8" w:val="clear"/>
      </w:pPr>
      <w:r>
        <w:rPr>
          <w:i/>
          <w:color w:val="444444"/>
          <w:sz w:val="18"/>
        </w:rPr>
        <w:t>Speaker Notes: Assignment rule sets</w:t>
        <w:br/>
        <w:t>Entity assignment by rules can take up to two passes. This is explained in greater detail on the next slide.</w:t>
      </w:r>
    </w:p>
    <w:p>
      <w:pPr>
        <w:pStyle w:val="Heading3"/>
      </w:pPr>
      <w:r>
        <w:rPr>
          <w:sz w:val="24"/>
        </w:rPr>
        <w:t>Slide 7/31: (Untitled)</w:t>
      </w:r>
    </w:p>
    <w:p>
      <w:r>
        <w:rPr>
          <w:i/>
          <w:color w:val="888888"/>
        </w:rPr>
        <w:t>[Image placeholder]</w:t>
      </w:r>
    </w:p>
    <w:p>
      <w:pPr>
        <w:spacing w:before="80" w:after="80"/>
        <w:shd w:fill="E8E8E8" w:val="clear"/>
      </w:pPr>
      <w:r>
        <w:rPr>
          <w:i/>
          <w:color w:val="444444"/>
          <w:sz w:val="18"/>
        </w:rPr>
        <w:t>Speaker Notes: Assignment flow</w:t>
        <w:br/>
        <w:t xml:space="preserve">When an entity is created, it might be manually assigned by the user. If it is not, then the Global &lt;EntitY&gt; Assignment Rules are executed automatically. </w:t>
        <w:br/>
        <w:t>The Global &lt;entitY&gt; Assignment Rules have three possible outcomes:</w:t>
        <w:br/>
        <w:br/>
        <w:t>1. One of the rules assigns both a group and a user for the entity. If this occurs, then assignment of the entity is complete.</w:t>
        <w:br/>
        <w:br/>
        <w:t>2. One of the rules assigns a group but not a user for the entity. If this occurs, then the Default Group &lt;entitY&gt; Assignment Rules are run for the entity to assign a user.</w:t>
        <w:br/>
        <w:br/>
        <w:t>3. None of the rules succeed in assigning a group for the entity. If this occurs, then the object is assigned to the Default Owner for manual assignment.</w:t>
        <w:br/>
        <w:br/>
        <w:t>The Default Group &lt;entitY&gt; assignment rules attempt to assign the entity to a specific user. If successful, then the assignment of the entity is complete.</w:t>
        <w:br/>
        <w:br/>
        <w:t>If it not successful, the Default Group rules may assign the entityto a new group, in which case the Default Group &lt;entitY&gt; Assignment Rules run again for that group. If no new group is assigned, and no user is assigned, then the entity is assigned to the group supervisor for the assigned group, for manual assignment</w:t>
      </w:r>
    </w:p>
    <w:p>
      <w:pPr>
        <w:pStyle w:val="Heading3"/>
      </w:pPr>
      <w:r>
        <w:rPr>
          <w:sz w:val="24"/>
        </w:rPr>
        <w:t>Slide 8/31: (Untitled)</w:t>
      </w:r>
    </w:p>
    <w:p>
      <w:r>
        <w:rPr>
          <w:i/>
          <w:color w:val="888888"/>
        </w:rPr>
        <w:t>[Image placeholder]</w:t>
      </w:r>
    </w:p>
    <w:p>
      <w:pPr>
        <w:spacing w:before="80" w:after="80"/>
        <w:shd w:fill="E8E8E8" w:val="clear"/>
      </w:pPr>
      <w:r>
        <w:rPr>
          <w:i/>
          <w:color w:val="444444"/>
          <w:sz w:val="18"/>
        </w:rPr>
        <w:t>Speaker Notes: Default owner assignment</w:t>
        <w:br/>
        <w:t>After global assignment rules have been executed, the assignment engine checks to see if the entity was assigned to a group. If the entity has not been assigned to a group,  then it is assigned to a "dummy" user called Default Owner and the root group of the hierarchy. (If the entity was assigned to a group, then assignment proceeds as normal.)</w:t>
        <w:br/>
        <w:br/>
        <w:t>The "Default Owner" is a dummy user used for entities which "fail" group assignment- You cannot lo  on as the Default Owner, and there is typically extra</w:t>
        <w:br/>
        <w:t>overhead in identifying entities assigned to Default Owner and reassigning them to a real user. Assignment to the Default Owner indicates flaws in the assignment rule logic that must be corrected. Routine monitoring should be performed to check for objects assigned to the Default Owner, and these</w:t>
        <w:br/>
        <w:t xml:space="preserve"> should be manually assigned to a group and user. The recommended best practice is to have a default assignment rule at the bottom of every Global rule set, which assigns any uncaught entities to a group that is tasked to handle this situation.</w:t>
        <w:br/>
        <w:br/>
        <w:t>Under no circumstances should a rule assign an entity directly to the Default Owner. *Technically, the entity will. only be assigned to the Default Owner if this is a new assignment- If this is are assignment, then group assignment failure will result in the entity reverting to the current owner.</w:t>
      </w:r>
    </w:p>
    <w:p>
      <w:pPr>
        <w:pStyle w:val="Heading3"/>
      </w:pPr>
      <w:r>
        <w:rPr>
          <w:sz w:val="24"/>
        </w:rPr>
        <w:t>Slide 9/31: (Untitled)</w:t>
      </w:r>
    </w:p>
    <w:p>
      <w:r>
        <w:rPr>
          <w:i/>
          <w:color w:val="888888"/>
        </w:rPr>
        <w:t>[Image placeholder]</w:t>
      </w:r>
    </w:p>
    <w:p>
      <w:pPr>
        <w:spacing w:before="80" w:after="80"/>
        <w:shd w:fill="E8E8E8" w:val="clear"/>
      </w:pPr>
      <w:r>
        <w:rPr>
          <w:i/>
          <w:color w:val="444444"/>
          <w:sz w:val="18"/>
        </w:rPr>
        <w:t>Speaker Notes: CCAssignabIe delegate (1 of 2)</w:t>
        <w:br/>
        <w:t xml:space="preserve">Implementing the CCAssignable delegate is what makes an entity assignable. Thus, if you need to make some additional entity assignable, you must </w:t>
        <w:br/>
        <w:br/>
        <w:t xml:space="preserve">Implement the CCAssignable delegate for that entity </w:t>
        <w:br/>
        <w:br/>
        <w:t>Create assignment rule sets (both Global and Default Group) for that entity</w:t>
        <w:br/>
        <w:br/>
        <w:t>Implement rules in those rule sets</w:t>
        <w:br/>
        <w:br/>
        <w:t xml:space="preserve"> Test, test, test! </w:t>
        <w:br/>
        <w:br/>
        <w:t>CurrentAssignment is a method that permits assigning not only anowner, but other individuals with roles on an entity. These roles are discussed in the lesson on Configuring Claim Contacts.</w:t>
      </w:r>
    </w:p>
    <w:p>
      <w:pPr>
        <w:pStyle w:val="Heading3"/>
      </w:pPr>
      <w:r>
        <w:rPr>
          <w:sz w:val="24"/>
        </w:rPr>
        <w:t>Slide 10/31: (Untitled)</w:t>
      </w:r>
    </w:p>
    <w:p>
      <w:r>
        <w:rPr>
          <w:i/>
          <w:color w:val="888888"/>
        </w:rPr>
        <w:t>[Image placeholder]</w:t>
      </w:r>
    </w:p>
    <w:p>
      <w:pPr>
        <w:spacing w:before="80" w:after="80"/>
        <w:shd w:fill="E8E8E8" w:val="clear"/>
      </w:pPr>
      <w:r>
        <w:rPr>
          <w:i/>
          <w:color w:val="444444"/>
          <w:sz w:val="18"/>
        </w:rPr>
        <w:t>Speaker Notes: CCAssignabIe delegate (2 of 2)</w:t>
        <w:br/>
        <w:t>The CurrentAssignment method is only valid within the scope of the Assignment Rules; assignment done elsewhere cannot use CurrentAssignment.</w:t>
      </w:r>
    </w:p>
    <w:p>
      <w:pPr>
        <w:pStyle w:val="Heading3"/>
      </w:pPr>
      <w:r>
        <w:rPr>
          <w:sz w:val="24"/>
        </w:rPr>
        <w:t>Slide 11/31: (Untitled)</w:t>
      </w:r>
    </w:p>
    <w:p>
      <w:r>
        <w:rPr>
          <w:i/>
          <w:color w:val="888888"/>
        </w:rPr>
        <w:t>[Image placeholder]</w:t>
      </w:r>
    </w:p>
    <w:p>
      <w:pPr>
        <w:spacing w:before="80" w:after="80"/>
        <w:shd w:fill="E8E8E8" w:val="clear"/>
      </w:pPr>
      <w:r>
        <w:rPr>
          <w:i/>
          <w:color w:val="444444"/>
          <w:sz w:val="18"/>
        </w:rPr>
        <w:t>Speaker Notes: Assignment in the UI</w:t>
        <w:br/>
        <w:t>In some screens, such as at the end of the FNOL Wizard, claim search results, Team screen, Desktop screens, and the Actions menu, you can manually assig  entities. You can use automated assignment, choose from a list, or search for a group or user.</w:t>
        <w:br/>
        <w:br/>
        <w:t>Automated assignment works as described in this lesson.</w:t>
        <w:br/>
        <w:br/>
        <w:t>The list of "Suggested Assignees“ includes yourself, the current claimlexposure owner, and everyone in your group to whom the entity can be assigned. In the screenshot, Sue Smith is the manager of the Autol — TeamA team, so all its members are listed.</w:t>
      </w:r>
    </w:p>
    <w:p>
      <w:pPr>
        <w:pStyle w:val="Heading3"/>
      </w:pPr>
      <w:r>
        <w:rPr>
          <w:sz w:val="24"/>
        </w:rPr>
        <w:t>Slide 12/31: (Untitled)</w:t>
      </w:r>
    </w:p>
    <w:p>
      <w:r>
        <w:rPr>
          <w:i/>
          <w:color w:val="888888"/>
        </w:rPr>
        <w:t>[Image placeholder]</w:t>
      </w:r>
    </w:p>
    <w:p>
      <w:pPr>
        <w:pStyle w:val="Heading3"/>
      </w:pPr>
      <w:r>
        <w:rPr>
          <w:sz w:val="24"/>
        </w:rPr>
        <w:t>Slide 13/31: (Untitled)</w:t>
      </w:r>
    </w:p>
    <w:p>
      <w:pPr>
        <w:pStyle w:val="Heading3"/>
      </w:pPr>
      <w:r>
        <w:rPr>
          <w:sz w:val="24"/>
        </w:rPr>
        <w:t>Slide 14/31: (Untitled)</w:t>
      </w:r>
    </w:p>
    <w:p>
      <w:r>
        <w:rPr>
          <w:i/>
          <w:color w:val="888888"/>
        </w:rPr>
        <w:t>[Image placeholder]</w:t>
      </w:r>
    </w:p>
    <w:p>
      <w:pPr>
        <w:pStyle w:val="Heading3"/>
      </w:pPr>
      <w:r>
        <w:rPr>
          <w:sz w:val="24"/>
        </w:rPr>
        <w:t>Slide 15/31: (Untitled)</w:t>
      </w:r>
    </w:p>
    <w:p>
      <w:r>
        <w:rPr>
          <w:i/>
          <w:color w:val="888888"/>
        </w:rPr>
        <w:t>[Image placeholder]</w:t>
      </w:r>
    </w:p>
    <w:p>
      <w:pPr>
        <w:spacing w:before="80" w:after="80"/>
        <w:shd w:fill="E8E8E8" w:val="clear"/>
      </w:pPr>
      <w:r>
        <w:rPr>
          <w:i/>
          <w:color w:val="444444"/>
          <w:sz w:val="18"/>
        </w:rPr>
        <w:t>Speaker Notes: Assignment methods</w:t>
        <w:br/>
        <w:t>CurrentAssignment is a property of an entity that comes from the CCAssignable delegate. The methods that perform assignment are methods of CurrentAssignment. There are many of these methods, each of which has unique characteristics. An assignment method returns a Boolean value. The reason this is useful appears on the next slide.</w:t>
      </w:r>
    </w:p>
    <w:p>
      <w:pPr>
        <w:pStyle w:val="Heading3"/>
      </w:pPr>
      <w:r>
        <w:rPr>
          <w:sz w:val="24"/>
        </w:rPr>
        <w:t>Slide 16/31: (Untitled)</w:t>
      </w:r>
    </w:p>
    <w:p>
      <w:r>
        <w:rPr>
          <w:i/>
          <w:color w:val="888888"/>
        </w:rPr>
        <w:t>[Image placeholder]</w:t>
      </w:r>
    </w:p>
    <w:p>
      <w:pPr>
        <w:spacing w:before="80" w:after="80"/>
        <w:shd w:fill="E8E8E8" w:val="clear"/>
      </w:pPr>
      <w:r>
        <w:rPr>
          <w:i/>
          <w:color w:val="444444"/>
          <w:sz w:val="18"/>
        </w:rPr>
        <w:t>Speaker Notes: actions.exit() method</w:t>
        <w:br/>
        <w:t>Once you have assigned an object to its final group, there is no reason to continue in the ruleset. Furthermore, there is some risk that a rule further down in the list will reassign your object to another group in a way that you do not want. Therefore, it is important to execute the actions-exit() method as soon as the object has an appropriate group assignment.</w:t>
        <w:br/>
        <w:br/>
        <w:t>By wrapping the assignment method inside the parentheses of an if clause, you will exit the ruleset if and only if theassignment is successful. It is best practice to use this approach for every single assignment method in your assignment rulesets.</w:t>
      </w:r>
    </w:p>
    <w:p>
      <w:pPr>
        <w:pStyle w:val="Heading3"/>
      </w:pPr>
      <w:r>
        <w:rPr>
          <w:sz w:val="24"/>
        </w:rPr>
        <w:t>Slide 17/31: (Untitled)</w:t>
      </w:r>
    </w:p>
    <w:p>
      <w:r>
        <w:rPr>
          <w:i/>
          <w:color w:val="888888"/>
        </w:rPr>
        <w:t>[Image placeholder]</w:t>
      </w:r>
    </w:p>
    <w:p>
      <w:pPr>
        <w:spacing w:before="80" w:after="80"/>
        <w:shd w:fill="E8E8E8" w:val="clear"/>
      </w:pPr>
      <w:r>
        <w:rPr>
          <w:i/>
          <w:color w:val="444444"/>
          <w:sz w:val="18"/>
        </w:rPr>
        <w:t>Speaker Notes: Commonly-used assignment methods</w:t>
        <w:br/>
        <w:t>CCAssignable's assign() and assignx() methods provide a number of possible strategies for assigning an object. There are more methods than are shown here, but these are the methods you will use most of the time. These, and all the other methods, are defined in more detail in the ClaimCenter Rules Guide.</w:t>
        <w:br/>
        <w:br/>
        <w:t>In the table, some group variables are marked with a * These variables may be set to null in calling the method.</w:t>
      </w:r>
    </w:p>
    <w:p>
      <w:pPr>
        <w:pStyle w:val="Heading3"/>
      </w:pPr>
      <w:r>
        <w:rPr>
          <w:sz w:val="24"/>
        </w:rPr>
        <w:t>Slide 18/31: (Untitled)</w:t>
      </w:r>
    </w:p>
    <w:p>
      <w:r>
        <w:rPr>
          <w:i/>
          <w:color w:val="888888"/>
        </w:rPr>
        <w:t>[Image placeholder]</w:t>
      </w:r>
    </w:p>
    <w:p>
      <w:pPr>
        <w:spacing w:before="80" w:after="80"/>
        <w:shd w:fill="E8E8E8" w:val="clear"/>
      </w:pPr>
      <w:r>
        <w:rPr>
          <w:i/>
          <w:color w:val="444444"/>
          <w:sz w:val="18"/>
        </w:rPr>
        <w:t>Speaker Notes: Dynamic assignment</w:t>
        <w:br/>
        <w:t>Dynamic assignment allows you to define a strategy different from those provided in the base configuratiom The details of this are complex and beyond the scope of this lesson; they may be found in the Rules Guide of the ClaimCenter product documentation.</w:t>
      </w:r>
    </w:p>
    <w:p>
      <w:pPr>
        <w:pStyle w:val="Heading3"/>
      </w:pPr>
      <w:r>
        <w:rPr>
          <w:sz w:val="24"/>
        </w:rPr>
        <w:t>Slide 19/31: (Untitled)</w:t>
      </w:r>
    </w:p>
    <w:p>
      <w:r>
        <w:rPr>
          <w:i/>
          <w:color w:val="888888"/>
        </w:rPr>
        <w:t>[Image placeholder]</w:t>
      </w:r>
    </w:p>
    <w:p>
      <w:r>
        <w:rPr>
          <w:i/>
          <w:color w:val="888888"/>
        </w:rPr>
        <w:t>[Image placeholder]</w:t>
      </w:r>
    </w:p>
    <w:p>
      <w:pPr>
        <w:pStyle w:val="Heading3"/>
      </w:pPr>
      <w:r>
        <w:rPr>
          <w:sz w:val="24"/>
        </w:rPr>
        <w:t>Slide 20/31: (Untitled)</w:t>
      </w:r>
    </w:p>
    <w:p>
      <w:pPr>
        <w:pStyle w:val="Heading3"/>
      </w:pPr>
      <w:r>
        <w:rPr>
          <w:sz w:val="24"/>
        </w:rPr>
        <w:t>Slide 21/31: (Untitled)</w:t>
      </w:r>
    </w:p>
    <w:p>
      <w:r>
        <w:rPr>
          <w:i/>
          <w:color w:val="888888"/>
        </w:rPr>
        <w:t>[Image placeholder]</w:t>
      </w:r>
    </w:p>
    <w:p>
      <w:pPr>
        <w:pStyle w:val="Heading3"/>
      </w:pPr>
      <w:r>
        <w:rPr>
          <w:sz w:val="24"/>
        </w:rPr>
        <w:t>Slide 22/31: (Untitled)</w:t>
      </w:r>
    </w:p>
    <w:p>
      <w:r>
        <w:rPr>
          <w:i/>
          <w:color w:val="888888"/>
        </w:rPr>
        <w:t>[Image placeholder]</w:t>
      </w:r>
    </w:p>
    <w:p>
      <w:pPr>
        <w:pStyle w:val="Heading3"/>
      </w:pPr>
      <w:r>
        <w:rPr>
          <w:sz w:val="24"/>
        </w:rPr>
        <w:t>Slide 23/31: (Untitled)</w:t>
      </w:r>
    </w:p>
    <w:p>
      <w:r>
        <w:rPr>
          <w:i/>
          <w:color w:val="888888"/>
        </w:rPr>
        <w:t>[Image placeholder]</w:t>
      </w:r>
    </w:p>
    <w:p>
      <w:pPr>
        <w:pStyle w:val="Heading3"/>
      </w:pPr>
      <w:r>
        <w:rPr>
          <w:sz w:val="24"/>
        </w:rPr>
        <w:t>Slide 24/31: (Untitled)</w:t>
      </w:r>
    </w:p>
    <w:p>
      <w:r>
        <w:rPr>
          <w:i/>
          <w:color w:val="888888"/>
        </w:rPr>
        <w:t>[Image placeholder]</w:t>
      </w:r>
    </w:p>
    <w:p>
      <w:pPr>
        <w:pStyle w:val="Heading3"/>
      </w:pPr>
      <w:r>
        <w:rPr>
          <w:sz w:val="24"/>
        </w:rPr>
        <w:t>Slide 25/31: (Untitled)</w:t>
      </w:r>
    </w:p>
    <w:p>
      <w:r>
        <w:rPr>
          <w:i/>
          <w:color w:val="888888"/>
        </w:rPr>
        <w:t>[Image placeholder]</w:t>
      </w:r>
    </w:p>
    <w:p>
      <w:pPr>
        <w:pStyle w:val="Heading3"/>
      </w:pPr>
      <w:r>
        <w:rPr>
          <w:sz w:val="24"/>
        </w:rPr>
        <w:t>Slide 26/31: (Untitled)</w:t>
      </w:r>
    </w:p>
    <w:p>
      <w:r>
        <w:rPr>
          <w:i/>
          <w:color w:val="888888"/>
        </w:rPr>
        <w:t>[Image placeholder]</w:t>
      </w:r>
    </w:p>
    <w:p>
      <w:pPr>
        <w:pStyle w:val="Heading3"/>
      </w:pPr>
      <w:r>
        <w:rPr>
          <w:sz w:val="24"/>
        </w:rPr>
        <w:t>Slide 27/31: (Untitled)</w:t>
      </w:r>
    </w:p>
    <w:p>
      <w:r>
        <w:rPr>
          <w:i/>
          <w:color w:val="888888"/>
        </w:rPr>
        <w:t>[Image placeholder]</w:t>
      </w:r>
    </w:p>
    <w:p>
      <w:pPr>
        <w:pStyle w:val="Heading3"/>
      </w:pPr>
      <w:r>
        <w:rPr>
          <w:sz w:val="24"/>
        </w:rPr>
        <w:t>Slide 28/31: (Untitled)</w:t>
      </w:r>
    </w:p>
    <w:p>
      <w:r>
        <w:rPr>
          <w:i/>
          <w:color w:val="888888"/>
        </w:rPr>
        <w:t>[Image placeholder]</w:t>
      </w:r>
    </w:p>
    <w:p>
      <w:pPr>
        <w:pStyle w:val="Heading3"/>
      </w:pPr>
      <w:r>
        <w:rPr>
          <w:sz w:val="24"/>
        </w:rPr>
        <w:t>Slide 29/31: (Untitled)</w:t>
      </w:r>
    </w:p>
    <w:p>
      <w:r>
        <w:rPr>
          <w:i/>
          <w:color w:val="888888"/>
        </w:rPr>
        <w:t>[Image placeholder]</w:t>
      </w:r>
    </w:p>
    <w:p>
      <w:pPr>
        <w:pStyle w:val="Heading3"/>
      </w:pPr>
      <w:r>
        <w:rPr>
          <w:sz w:val="24"/>
        </w:rPr>
        <w:t>Slide 30/31: (Untitled)</w:t>
      </w:r>
    </w:p>
    <w:p>
      <w:r>
        <w:rPr>
          <w:i/>
          <w:color w:val="888888"/>
        </w:rPr>
        <w:t>[Image placeholder]</w:t>
      </w:r>
    </w:p>
    <w:p>
      <w:pPr>
        <w:pStyle w:val="Heading3"/>
      </w:pPr>
      <w:r>
        <w:rPr>
          <w:sz w:val="24"/>
        </w:rPr>
        <w:t>Slide 31/31: (Untitled)</w:t>
      </w:r>
    </w:p>
    <w:p>
      <w:r>
        <w:rPr>
          <w:i/>
          <w:color w:val="888888"/>
        </w:rPr>
        <w:t>[Image placeholder]</w:t>
      </w:r>
    </w:p>
    <w:p>
      <w:pPr>
        <w:pStyle w:val="Heading2"/>
      </w:pPr>
      <w:r>
        <w:t>Assignment</w:t>
      </w:r>
    </w:p>
    <w:p>
      <w:r>
        <w:rPr>
          <w:b/>
          <w:color w:val="008800"/>
        </w:rPr>
        <w:t>[Assignment 05]: Writing Assignment Rules</w:t>
      </w:r>
    </w:p>
    <w:p>
      <w:r>
        <w:rPr>
          <w:i/>
          <w:sz w:val="18"/>
        </w:rPr>
        <w:t>File: 05 - Writing Assignment Rules.pdf</w:t>
      </w:r>
    </w:p>
    <w:p/>
    <w:p>
      <w:pPr>
        <w:spacing w:before="240"/>
        <w:jc w:val="center"/>
      </w:pPr>
      <w:r>
        <w:rPr>
          <w:i/>
          <w:color w:val="999999"/>
          <w:sz w:val="16"/>
        </w:rPr>
        <w:t>--- End of Lesson 5: Writing Assignment Rules | 31 slides | 2 videos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