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A1A1A"/>
          <w:sz w:val="36"/>
        </w:rPr>
        <w:t>Chapter 09: ClaimCenter Configuration</w:t>
      </w:r>
    </w:p>
    <w:p>
      <w:pPr>
        <w:pStyle w:val="Heading2"/>
      </w:pPr>
      <w:r>
        <w:rPr>
          <w:color w:val="333333"/>
          <w:sz w:val="28"/>
        </w:rPr>
        <w:t>Lesson 8: Configuring Claim Contacts</w:t>
      </w:r>
    </w:p>
    <w:p>
      <w:pPr>
        <w:spacing w:after="40"/>
      </w:pPr>
      <w:r>
        <w:rPr>
          <w:i/>
          <w:color w:val="999999"/>
          <w:sz w:val="16"/>
        </w:rPr>
        <w:t>Source: 08 - Configuring Claim Contacts.pptx</w:t>
      </w:r>
    </w:p>
    <w:p>
      <w:pPr>
        <w:pStyle w:val="Heading3"/>
      </w:pPr>
      <w:r>
        <w:t>Video References</w:t>
      </w:r>
    </w:p>
    <w:p>
      <w:pPr>
        <w:pStyle w:val="ListNumber"/>
      </w:pPr>
      <w:r>
        <w:rPr>
          <w:color w:val="0066CC"/>
          <w:sz w:val="20"/>
        </w:rPr>
        <w:t>[Video 1: CC_08_01.mp4]</w:t>
      </w:r>
    </w:p>
    <w:p>
      <w:pPr>
        <w:pStyle w:val="ListNumber"/>
      </w:pPr>
      <w:r>
        <w:rPr>
          <w:color w:val="0066CC"/>
          <w:sz w:val="20"/>
        </w:rPr>
        <w:t>[Video 2: CC_08_02.mp4]</w:t>
      </w:r>
    </w:p>
    <w:p/>
    <w:p>
      <w:pPr>
        <w:pStyle w:val="Heading2"/>
      </w:pPr>
      <w:r>
        <w:t>Slide Content</w:t>
      </w:r>
    </w:p>
    <w:p>
      <w:pPr>
        <w:pStyle w:val="Heading3"/>
      </w:pPr>
      <w:r>
        <w:rPr>
          <w:sz w:val="24"/>
        </w:rPr>
        <w:t>Slide 1/39: (Untitled)</w:t>
      </w:r>
    </w:p>
    <w:p>
      <w:r>
        <w:rPr>
          <w:i/>
          <w:color w:val="888888"/>
        </w:rPr>
        <w:t>[Image placeholder]</w:t>
      </w:r>
    </w:p>
    <w:p>
      <w:pPr>
        <w:pStyle w:val="Heading3"/>
      </w:pPr>
      <w:r>
        <w:rPr>
          <w:sz w:val="24"/>
        </w:rPr>
        <w:t>Slide 2/39: (Untitled)</w:t>
      </w:r>
    </w:p>
    <w:p>
      <w:r>
        <w:rPr>
          <w:i/>
          <w:color w:val="888888"/>
        </w:rPr>
        <w:t>[Image placeholder]</w:t>
      </w:r>
    </w:p>
    <w:p>
      <w:pPr>
        <w:pStyle w:val="Heading3"/>
      </w:pPr>
      <w:r>
        <w:rPr>
          <w:sz w:val="24"/>
        </w:rPr>
        <w:t>Slide 3/39: (Untitled)</w:t>
      </w:r>
    </w:p>
    <w:p>
      <w:r>
        <w:rPr>
          <w:i/>
          <w:color w:val="888888"/>
        </w:rPr>
        <w:t>[Image placeholder]</w:t>
      </w:r>
    </w:p>
    <w:p>
      <w:pPr>
        <w:pStyle w:val="Heading3"/>
      </w:pPr>
      <w:r>
        <w:rPr>
          <w:sz w:val="24"/>
        </w:rPr>
        <w:t>Slide 4/39: (Untitled)</w:t>
      </w:r>
    </w:p>
    <w:p>
      <w:r>
        <w:rPr>
          <w:i/>
          <w:color w:val="888888"/>
        </w:rPr>
        <w:t>[Image placeholder]</w:t>
      </w:r>
    </w:p>
    <w:p>
      <w:pPr>
        <w:spacing w:before="80" w:after="80"/>
        <w:shd w:fill="E8E8E8" w:val="clear"/>
      </w:pPr>
      <w:r>
        <w:rPr>
          <w:i/>
          <w:color w:val="444444"/>
          <w:sz w:val="18"/>
        </w:rPr>
        <w:t>Speaker Notes: Contacts: review</w:t>
        <w:br/>
        <w:t>A contact is anybody with whom you might want to communicate regarding the processing of a claim.</w:t>
        <w:br/>
        <w:br/>
        <w:t>A person is an actual human being who has some connection with the claim. Examples include claimants, reporters, doctors, and attorneys.</w:t>
        <w:br/>
        <w:br/>
        <w:t>A company is a corporate entity such as an auto repair shop, a hospital, or a law firm.</w:t>
        <w:br/>
        <w:br/>
        <w:t>A place, or venue, is a location for a scheduled event relevant to claims processing. Typically, venues are places where dispute resolution occurs, such as a courthouse or a conference room used for arbitration.</w:t>
      </w:r>
    </w:p>
    <w:p>
      <w:pPr>
        <w:pStyle w:val="Heading3"/>
      </w:pPr>
      <w:r>
        <w:rPr>
          <w:sz w:val="24"/>
        </w:rPr>
        <w:t>Slide 5/39: (Untitled)</w:t>
      </w:r>
    </w:p>
    <w:p>
      <w:r>
        <w:rPr>
          <w:i/>
          <w:color w:val="888888"/>
        </w:rPr>
        <w:t>[Image placeholder]</w:t>
      </w:r>
    </w:p>
    <w:p>
      <w:pPr>
        <w:spacing w:before="80" w:after="80"/>
        <w:shd w:fill="E8E8E8" w:val="clear"/>
      </w:pPr>
      <w:r>
        <w:rPr>
          <w:i/>
          <w:color w:val="444444"/>
          <w:sz w:val="18"/>
        </w:rPr>
        <w:t>Speaker Notes: Local versus linked contacts</w:t>
        <w:br/>
        <w:t>Local Contacts are associated with a single Claim and exist only in ClaimCenter.</w:t>
        <w:br/>
        <w:br/>
        <w:t>Shared Contacts (usually Vendors) are Contacts which can be associated with multiple Claims. They are stored in ContactManager or some other address book application.</w:t>
        <w:br/>
        <w:br/>
        <w:t>When a shared Contact is associated with a Claim, a local copy of that Contact is created in ClaimCenter and added to the Claim. So if a change is made to the Dr. Matt Sawyer contact record on Claim 000-00-002003, it does not affect the Dr. Matt Sawyer record on Claim 000-00- 002006.</w:t>
        <w:br/>
        <w:br/>
        <w:t>When you change the local copy of a contact , you can (you don’t have to) synchronize the local copy with the address book. If you do this, then local copies of the contact created in the future will reflect this change. (This may require approval by an administrator of the address book application, as it does in ContactManager.)</w:t>
      </w:r>
    </w:p>
    <w:p>
      <w:pPr>
        <w:pStyle w:val="Heading3"/>
      </w:pPr>
      <w:r>
        <w:rPr>
          <w:sz w:val="24"/>
        </w:rPr>
        <w:t>Slide 6/39: (Untitled)</w:t>
      </w:r>
    </w:p>
    <w:p>
      <w:r>
        <w:rPr>
          <w:i/>
          <w:color w:val="888888"/>
        </w:rPr>
        <w:t>[Image placeholder]</w:t>
      </w:r>
    </w:p>
    <w:p>
      <w:pPr>
        <w:spacing w:before="80" w:after="80"/>
        <w:shd w:fill="E8E8E8" w:val="clear"/>
      </w:pPr>
      <w:r>
        <w:rPr>
          <w:i/>
          <w:color w:val="444444"/>
          <w:sz w:val="18"/>
        </w:rPr>
        <w:t>Speaker Notes: Roles</w:t>
        <w:br/>
        <w:t>A contact's role is defined by what the contact does on the claim.</w:t>
        <w:br/>
        <w:br/>
        <w:t>A contact may have different roles on different claims: for example, someone who is a doctor on one claim may be an injured party on another claim.</w:t>
        <w:br/>
        <w:br/>
        <w:t>In addition, one contact may have multiple roles on the same claim. For example, a person who is a driver is often also the insured, an injured party, and the reporter on the same claim.</w:t>
      </w:r>
    </w:p>
    <w:p>
      <w:pPr>
        <w:pStyle w:val="Heading3"/>
      </w:pPr>
      <w:r>
        <w:rPr>
          <w:sz w:val="24"/>
        </w:rPr>
        <w:t>Slide 7/39: (Untitled)</w:t>
      </w:r>
    </w:p>
    <w:p>
      <w:r>
        <w:rPr>
          <w:i/>
          <w:color w:val="888888"/>
        </w:rPr>
        <w:t>[Image placeholder]</w:t>
      </w:r>
    </w:p>
    <w:p>
      <w:pPr>
        <w:spacing w:before="80" w:after="80"/>
        <w:shd w:fill="E8E8E8" w:val="clear"/>
      </w:pPr>
      <w:r>
        <w:rPr>
          <w:i/>
          <w:color w:val="444444"/>
          <w:sz w:val="18"/>
        </w:rPr>
        <w:t>Speaker Notes: Subtypes of contact</w:t>
        <w:br/>
        <w:t>The Contact entity is subtyped:</w:t>
        <w:br/>
        <w:br/>
        <w:t>Fields are inherited in a hierarchical manner</w:t>
        <w:br/>
        <w:t>This mirrors the way contacts are in the real world</w:t>
        <w:br/>
        <w:br/>
        <w:t xml:space="preserve">Subtype categories reflect data gathered about a contact at the subtype level and below. </w:t>
        <w:br/>
        <w:t>This slide is an example of how data is organized by subtype, with lower levels of the hierarchy inheriting fields set at the higher levels. No 'Assembly Room’ subtype exists under the Legal Venue subtype — this is an example of adding a new subtype.</w:t>
      </w:r>
    </w:p>
    <w:p>
      <w:pPr>
        <w:pStyle w:val="Heading3"/>
      </w:pPr>
      <w:r>
        <w:rPr>
          <w:sz w:val="24"/>
        </w:rPr>
        <w:t>Slide 8/39: (Untitled)</w:t>
      </w:r>
    </w:p>
    <w:p>
      <w:r>
        <w:rPr>
          <w:i/>
          <w:color w:val="888888"/>
        </w:rPr>
        <w:t>[Image placeholder]</w:t>
      </w:r>
    </w:p>
    <w:p>
      <w:pPr>
        <w:spacing w:before="80" w:after="80"/>
        <w:shd w:fill="E8E8E8" w:val="clear"/>
      </w:pPr>
      <w:r>
        <w:rPr>
          <w:i/>
          <w:color w:val="444444"/>
          <w:sz w:val="18"/>
        </w:rPr>
        <w:t>Speaker Notes: Contact role data model</w:t>
        <w:br/>
        <w:t>A role must be related to either the claim as a whole, or some aspect of the claim. The screenshot above shows roles held by Bo Simpson on an auto claim. Bo is claimant on two exposures, an injured party on an injury incident, and the driver on a property incident. In the base configuration, roles can be related to claims, exposures, incidents, matters, evaluations, negotiations, and policies.</w:t>
      </w:r>
    </w:p>
    <w:p>
      <w:pPr>
        <w:pStyle w:val="Heading3"/>
      </w:pPr>
      <w:r>
        <w:rPr>
          <w:sz w:val="24"/>
        </w:rPr>
        <w:t>Slide 9/39: (Untitled)</w:t>
      </w:r>
    </w:p>
    <w:p>
      <w:r>
        <w:rPr>
          <w:i/>
          <w:color w:val="888888"/>
        </w:rPr>
        <w:t>[Image placeholder]</w:t>
      </w:r>
    </w:p>
    <w:p>
      <w:pPr>
        <w:spacing w:before="80" w:after="80"/>
        <w:shd w:fill="E8E8E8" w:val="clear"/>
      </w:pPr>
      <w:r>
        <w:rPr>
          <w:i/>
          <w:color w:val="444444"/>
          <w:sz w:val="18"/>
        </w:rPr>
        <w:t>Speaker Notes: Contact role data model: Claim and Contact</w:t>
        <w:br/>
        <w:t>The Contact entity contains Claim-independent information such as the name of the person, place or company, and the address and other contact</w:t>
        <w:br/>
        <w:br/>
        <w:t>information; it identifies the subtype of the Contact. Information about a Contact may be permanently stored elsewhere (typically in an Address Book application, such as ContactManager). This functionality is generally used for Contacts whom the insurer may interact with on many claims, such as a vendor or a legal venue.</w:t>
      </w:r>
    </w:p>
    <w:p>
      <w:pPr>
        <w:pStyle w:val="Heading3"/>
      </w:pPr>
      <w:r>
        <w:rPr>
          <w:sz w:val="24"/>
        </w:rPr>
        <w:t>Slide 10/39: (Untitled)</w:t>
      </w:r>
    </w:p>
    <w:p>
      <w:r>
        <w:rPr>
          <w:i/>
          <w:color w:val="888888"/>
        </w:rPr>
        <w:t>[Image placeholder]</w:t>
      </w:r>
    </w:p>
    <w:p>
      <w:pPr>
        <w:spacing w:before="80" w:after="80"/>
        <w:shd w:fill="E8E8E8" w:val="clear"/>
      </w:pPr>
      <w:r>
        <w:rPr>
          <w:i/>
          <w:color w:val="444444"/>
          <w:sz w:val="18"/>
        </w:rPr>
        <w:t>Speaker Notes: Contact role data model: ClaimContact</w:t>
        <w:br/>
        <w:t>A ClaimContact is an entity that mostly exists to pair two foreign keys: a key to a Claim, and a key to a Contact. Thus, it associates Claims and Contacts on a many- to-many basis.</w:t>
        <w:br/>
        <w:br/>
        <w:t>The Contact referenced by a ClaimContact can be a local contact created for a single claim, such as a witness, or it can be a shared contact like an auto repair shop that is copied from the address book application and associated with many claims.</w:t>
        <w:br/>
        <w:br/>
        <w:t>A Contact may be associated with only one ClaimContact on any given Claim.</w:t>
      </w:r>
    </w:p>
    <w:p>
      <w:pPr>
        <w:pStyle w:val="Heading3"/>
      </w:pPr>
      <w:r>
        <w:rPr>
          <w:sz w:val="24"/>
        </w:rPr>
        <w:t>Slide 11/39: (Untitled)</w:t>
      </w:r>
    </w:p>
    <w:p>
      <w:r>
        <w:rPr>
          <w:i/>
          <w:color w:val="888888"/>
        </w:rPr>
        <w:t>[Image placeholder]</w:t>
      </w:r>
    </w:p>
    <w:p>
      <w:pPr>
        <w:spacing w:before="80" w:after="80"/>
        <w:shd w:fill="E8E8E8" w:val="clear"/>
      </w:pPr>
      <w:r>
        <w:rPr>
          <w:i/>
          <w:color w:val="444444"/>
          <w:sz w:val="18"/>
        </w:rPr>
        <w:t>Speaker Notes: Contact role data model: ClaimContactRoIe</w:t>
        <w:br/>
        <w:t>A Contact must have at least one role, and may have many. ClaimContactRole is a join table that stores pairings of ClaimContact and Role on a many-to-many basis.</w:t>
      </w:r>
    </w:p>
    <w:p>
      <w:pPr>
        <w:pStyle w:val="Heading3"/>
      </w:pPr>
      <w:r>
        <w:rPr>
          <w:sz w:val="24"/>
        </w:rPr>
        <w:t>Slide 12/39: (Untitled)</w:t>
      </w:r>
    </w:p>
    <w:p>
      <w:r>
        <w:rPr>
          <w:i/>
          <w:color w:val="888888"/>
        </w:rPr>
        <w:t>[Image placeholder]</w:t>
      </w:r>
    </w:p>
    <w:p>
      <w:pPr>
        <w:spacing w:before="80" w:after="80"/>
        <w:shd w:fill="E8E8E8" w:val="clear"/>
      </w:pPr>
      <w:r>
        <w:rPr>
          <w:i/>
          <w:color w:val="444444"/>
          <w:sz w:val="18"/>
        </w:rPr>
        <w:t>Speaker Notes: Contact role data model: ClaimContactRoIeOwner</w:t>
        <w:br/>
        <w:t>Claim Contact Role Owner associates a role with the claim, exposure, incident, matter, evaluation, negotiation, or policy that owns it.</w:t>
        <w:br/>
        <w:br/>
        <w:t>More precisely, ClaimContactRoleOwner is an interface which is implemented by claims, exposures, and so on.  Implementing the ClaimContactRoleOwner interface means that the implementing entity may own roles relative to a claim and a contact.</w:t>
      </w:r>
    </w:p>
    <w:p>
      <w:pPr>
        <w:pStyle w:val="Heading3"/>
      </w:pPr>
      <w:r>
        <w:rPr>
          <w:sz w:val="24"/>
        </w:rPr>
        <w:t>Slide 13/39: (Untitled)</w:t>
      </w:r>
    </w:p>
    <w:p>
      <w:r>
        <w:rPr>
          <w:i/>
          <w:color w:val="888888"/>
        </w:rPr>
        <w:t>[Image placeholder]</w:t>
      </w:r>
    </w:p>
    <w:p>
      <w:pPr>
        <w:pStyle w:val="Heading3"/>
      </w:pPr>
      <w:r>
        <w:rPr>
          <w:sz w:val="24"/>
        </w:rPr>
        <w:t>Slide 14/39: (Untitled)</w:t>
      </w:r>
    </w:p>
    <w:p>
      <w:r>
        <w:rPr>
          <w:i/>
          <w:color w:val="888888"/>
        </w:rPr>
        <w:t>[Image placeholder]</w:t>
      </w:r>
    </w:p>
    <w:p>
      <w:pPr>
        <w:spacing w:before="80" w:after="80"/>
        <w:shd w:fill="E8E8E8" w:val="clear"/>
      </w:pPr>
      <w:r>
        <w:rPr>
          <w:i/>
          <w:color w:val="444444"/>
          <w:sz w:val="18"/>
        </w:rPr>
        <w:t>Speaker Notes: Configuring contact roles</w:t>
        <w:br/>
        <w:t>To create a new role, you add an entry to the ContactRole typelist. This is an extendible typelist.</w:t>
        <w:br/>
        <w:br/>
        <w:t>Of course, it isn't that simple. Make sure you note the code property you assign to the new role!</w:t>
      </w:r>
    </w:p>
    <w:p>
      <w:pPr>
        <w:pStyle w:val="Heading3"/>
      </w:pPr>
      <w:r>
        <w:rPr>
          <w:sz w:val="24"/>
        </w:rPr>
        <w:t>Slide 15/39: (Untitled)</w:t>
      </w:r>
    </w:p>
    <w:p>
      <w:r>
        <w:rPr>
          <w:i/>
          <w:color w:val="888888"/>
        </w:rPr>
        <w:t>[Image placeholder]</w:t>
      </w:r>
    </w:p>
    <w:p>
      <w:pPr>
        <w:spacing w:before="80" w:after="80"/>
        <w:shd w:fill="E8E8E8" w:val="clear"/>
      </w:pPr>
      <w:r>
        <w:rPr>
          <w:i/>
          <w:color w:val="444444"/>
          <w:sz w:val="18"/>
        </w:rPr>
        <w:t>Speaker Notes: Configuring contact role categories</w:t>
        <w:br/>
        <w:t>A contacts list has a filter with values that come from the ContactRoleCategory typelist. You usually won't need to add new typecodes to this typelist (though you can if you need to). Each typecode is associated with a list of •categories," each of which is associated with a role (identified by its code property). This is discussed in more detail in the next slide.</w:t>
      </w:r>
    </w:p>
    <w:p>
      <w:pPr>
        <w:pStyle w:val="Heading3"/>
      </w:pPr>
      <w:r>
        <w:rPr>
          <w:sz w:val="24"/>
        </w:rPr>
        <w:t>Slide 16/39: (Untitled)</w:t>
      </w:r>
    </w:p>
    <w:p>
      <w:r>
        <w:rPr>
          <w:i/>
          <w:color w:val="888888"/>
        </w:rPr>
        <w:t>[Image placeholder]</w:t>
      </w:r>
    </w:p>
    <w:p>
      <w:pPr>
        <w:spacing w:before="80" w:after="80"/>
        <w:shd w:fill="E8E8E8" w:val="clear"/>
      </w:pPr>
      <w:r>
        <w:rPr>
          <w:i/>
          <w:color w:val="444444"/>
          <w:sz w:val="18"/>
        </w:rPr>
        <w:t>Speaker Notes: Categorizing roles</w:t>
        <w:br/>
        <w:t>The contacts list includes a filter that can be used to limit how many contacts display in the IJI based on role (useful when there are many contacts on a claim). By default, the filter shows ‘All Roles', but the user can select a different filter such as 'Vendors’ to display a subset of the contacts.</w:t>
        <w:br/>
        <w:br/>
        <w:t>You usually won't need to add new typecodes to this typelist (though you can if you need to). Each typecode in the ContactRoleCategory typelist is associated with a list of •categories," each of which is associated with a value from the ContactRole typelist (identified by its code property).</w:t>
      </w:r>
    </w:p>
    <w:p>
      <w:pPr>
        <w:pStyle w:val="Heading3"/>
      </w:pPr>
      <w:r>
        <w:rPr>
          <w:sz w:val="24"/>
        </w:rPr>
        <w:t>Slide 17/39: (Untitled)</w:t>
      </w:r>
    </w:p>
    <w:p>
      <w:r>
        <w:rPr>
          <w:i/>
          <w:color w:val="888888"/>
        </w:rPr>
        <w:t>[Image placeholder]</w:t>
      </w:r>
    </w:p>
    <w:p>
      <w:pPr>
        <w:spacing w:before="80" w:after="80"/>
        <w:shd w:fill="E8E8E8" w:val="clear"/>
      </w:pPr>
      <w:r>
        <w:rPr>
          <w:i/>
          <w:color w:val="444444"/>
          <w:sz w:val="18"/>
        </w:rPr>
        <w:t>Speaker Notes: Contact role type constraints</w:t>
        <w:br/>
        <w:t>Role constraints create relationships between roles, contacts, and entities. Their primary purpose is to enable role assignment, but they are called constraints because they prevent users from assigning roles to contacts in ways that do not make sense.</w:t>
        <w:br/>
        <w:br/>
        <w:t>Contact Role Type Constraints determine what contact types may own what roles. For example, the eprimary physicianrole can be held by a contact of subtype Doctor, but it makes no sense for a contact of subtype Attorney to hold that role.</w:t>
      </w:r>
    </w:p>
    <w:p>
      <w:pPr>
        <w:pStyle w:val="Heading3"/>
      </w:pPr>
      <w:r>
        <w:rPr>
          <w:sz w:val="24"/>
        </w:rPr>
        <w:t>Slide 18/39: (Untitled)</w:t>
      </w:r>
    </w:p>
    <w:p>
      <w:r>
        <w:rPr>
          <w:i/>
          <w:color w:val="888888"/>
        </w:rPr>
        <w:t>[Image placeholder]</w:t>
      </w:r>
    </w:p>
    <w:p>
      <w:pPr>
        <w:spacing w:before="80" w:after="80"/>
        <w:shd w:fill="E8E8E8" w:val="clear"/>
      </w:pPr>
      <w:r>
        <w:rPr>
          <w:i/>
          <w:color w:val="444444"/>
          <w:sz w:val="18"/>
        </w:rPr>
        <w:t>Speaker Notes: Entity role constraints</w:t>
        <w:br/>
        <w:t>Entity role constraints determine which entities can own roles, and how many of those roles the entity can have. It makes no sense to have two contacts with the role of •driver" for vehicle incident which describes damage to a single car. Similarly, an auto repair shop cannot have the Edriver" role. And the "driver" role makes no sense at all on a fixed property incident, which describes damage to a building.</w:t>
      </w:r>
    </w:p>
    <w:p>
      <w:pPr>
        <w:pStyle w:val="Heading3"/>
      </w:pPr>
      <w:r>
        <w:rPr>
          <w:sz w:val="24"/>
        </w:rPr>
        <w:t>Slide 19/39: (Untitled)</w:t>
      </w:r>
    </w:p>
    <w:p>
      <w:r>
        <w:rPr>
          <w:i/>
          <w:color w:val="888888"/>
        </w:rPr>
        <w:t>[Image placeholder]</w:t>
      </w:r>
    </w:p>
    <w:p>
      <w:pPr>
        <w:spacing w:before="80" w:after="80"/>
        <w:shd w:fill="E8E8E8" w:val="clear"/>
      </w:pPr>
      <w:r>
        <w:rPr>
          <w:i/>
          <w:color w:val="444444"/>
          <w:sz w:val="18"/>
        </w:rPr>
        <w:t>Speaker Notes: Configuring contact role type constraints</w:t>
        <w:br/>
        <w:t>Contact Role Type Constraints define what contactSubtypes can have what contactRoleCodes. Thus, only a Company can be a Case Management Company, while only a Person can be a Case Manager.</w:t>
        <w:br/>
        <w:br/>
        <w:t>ExceptionConstraints allow exceptions to the constraint, in which another contactSubtype can have the role if the entity owning the role is a particular type (entityRef). So while Claimants are normally Persons, a Company can be the Claimant on an Exposure (but not on a Claim).</w:t>
      </w:r>
    </w:p>
    <w:p>
      <w:pPr>
        <w:pStyle w:val="Heading3"/>
      </w:pPr>
      <w:r>
        <w:rPr>
          <w:sz w:val="24"/>
        </w:rPr>
        <w:t>Slide 20/39: (Untitled)</w:t>
      </w:r>
    </w:p>
    <w:p>
      <w:r>
        <w:rPr>
          <w:i/>
          <w:color w:val="888888"/>
        </w:rPr>
        <w:t>[Image placeholder]</w:t>
      </w:r>
    </w:p>
    <w:p>
      <w:pPr>
        <w:spacing w:before="80" w:after="80"/>
        <w:shd w:fill="E8E8E8" w:val="clear"/>
      </w:pPr>
      <w:r>
        <w:rPr>
          <w:i/>
          <w:color w:val="444444"/>
          <w:sz w:val="18"/>
        </w:rPr>
        <w:t>Speaker Notes: Configuring entity role constraints</w:t>
        <w:br/>
        <w:t>EntityRefs define what kind of entity the Role Constraint refers to.</w:t>
        <w:br/>
        <w:br/>
        <w:t>RoleRefs define a relationship between a Role and an Entity which can own that role.</w:t>
        <w:br/>
        <w:br/>
        <w:t>RoleConstraints provide additional information about the relationship:</w:t>
        <w:br/>
        <w:br/>
        <w:t>RoleConstraint — Exclusive means there can only be one contact assigned to this role.</w:t>
        <w:br/>
        <w:br/>
        <w:t>RoleConstraint — Required means that there must be at least one contact assigned to this role.</w:t>
        <w:br/>
        <w:br/>
        <w:t>RoleConstraint —Prohibited means that there cannot be any contacts assigned to this role.</w:t>
        <w:br/>
        <w:br/>
        <w:t>Additionallnfo means that the RoleConstraint only applies when a particular property of the owning entity meets certain conditions.</w:t>
      </w:r>
    </w:p>
    <w:p>
      <w:pPr>
        <w:pStyle w:val="Heading3"/>
      </w:pPr>
      <w:r>
        <w:rPr>
          <w:sz w:val="24"/>
        </w:rPr>
        <w:t>Slide 21/39: (Untitled)</w:t>
      </w:r>
    </w:p>
    <w:p>
      <w:r>
        <w:rPr>
          <w:i/>
          <w:color w:val="888888"/>
        </w:rPr>
        <w:t>[Image placeholder]</w:t>
      </w:r>
    </w:p>
    <w:p>
      <w:pPr>
        <w:pStyle w:val="Heading3"/>
      </w:pPr>
      <w:r>
        <w:rPr>
          <w:sz w:val="24"/>
        </w:rPr>
        <w:t>Slide 22/39: (Untitled)</w:t>
      </w:r>
    </w:p>
    <w:p>
      <w:pPr>
        <w:pStyle w:val="Heading3"/>
      </w:pPr>
      <w:r>
        <w:rPr>
          <w:sz w:val="24"/>
        </w:rPr>
        <w:t>Slide 23/39: (Untitled)</w:t>
      </w:r>
    </w:p>
    <w:p>
      <w:r>
        <w:rPr>
          <w:i/>
          <w:color w:val="888888"/>
        </w:rPr>
        <w:t>[Image placeholder]</w:t>
      </w:r>
    </w:p>
    <w:p>
      <w:pPr>
        <w:pStyle w:val="Heading3"/>
      </w:pPr>
      <w:r>
        <w:rPr>
          <w:sz w:val="24"/>
        </w:rPr>
        <w:t>Slide 24/39: (Untitled)</w:t>
      </w:r>
    </w:p>
    <w:p>
      <w:r>
        <w:rPr>
          <w:i/>
          <w:color w:val="888888"/>
        </w:rPr>
        <w:t>[Image placeholder]</w:t>
      </w:r>
    </w:p>
    <w:p>
      <w:pPr>
        <w:spacing w:before="80" w:after="80"/>
        <w:shd w:fill="E8E8E8" w:val="clear"/>
      </w:pPr>
      <w:r>
        <w:rPr>
          <w:i/>
          <w:color w:val="444444"/>
          <w:sz w:val="18"/>
        </w:rPr>
        <w:t>Speaker Notes: Claim contact widgets</w:t>
        <w:br/>
        <w:t>Claim Contact Widgets are special input widgets used to meet the special requirements of ClaimContacts.</w:t>
        <w:br/>
        <w:br/>
        <w:t>They are similar to picker inputs, in that they provide a dropdown arrow which offers a list of the contacts already associated with the claim-</w:t>
        <w:br/>
        <w:br/>
        <w:t>But they also provide a second dropdown arrow, to the right, which provides a menu with three options:</w:t>
        <w:br/>
        <w:br/>
        <w:t>1. Add a new contact to the claim</w:t>
        <w:br/>
        <w:t>2. Search the address book for an existing contact</w:t>
        <w:br/>
        <w:t>3. If there is a contact already in the input, view the details of that contact.</w:t>
      </w:r>
    </w:p>
    <w:p>
      <w:pPr>
        <w:pStyle w:val="Heading3"/>
      </w:pPr>
      <w:r>
        <w:rPr>
          <w:sz w:val="24"/>
        </w:rPr>
        <w:t>Slide 25/39: (Untitled)</w:t>
      </w:r>
    </w:p>
    <w:p>
      <w:r>
        <w:rPr>
          <w:i/>
          <w:color w:val="888888"/>
        </w:rPr>
        <w:t>[Image placeholder]</w:t>
      </w:r>
    </w:p>
    <w:p>
      <w:pPr>
        <w:spacing w:before="80" w:after="80"/>
        <w:shd w:fill="E8E8E8" w:val="clear"/>
      </w:pPr>
      <w:r>
        <w:rPr>
          <w:i/>
          <w:color w:val="444444"/>
          <w:sz w:val="18"/>
        </w:rPr>
        <w:t>Speaker Notes: Types of claim contact widget</w:t>
        <w:br/>
        <w:t>There are two types of claim contact widget: the Claim Contact Cell, for list views, and the Claim Contact Input, for detail views. Both of these widgets provide a dropdown list of contacts already associated with the claim and a menu of options for adding a contact or viewing contact information.</w:t>
      </w:r>
    </w:p>
    <w:p>
      <w:pPr>
        <w:pStyle w:val="Heading3"/>
      </w:pPr>
      <w:r>
        <w:rPr>
          <w:sz w:val="24"/>
        </w:rPr>
        <w:t>Slide 26/39: (Untitled)</w:t>
      </w:r>
    </w:p>
    <w:p>
      <w:r>
        <w:rPr>
          <w:i/>
          <w:color w:val="888888"/>
        </w:rPr>
        <w:t>[Image placeholder]</w:t>
      </w:r>
    </w:p>
    <w:p>
      <w:pPr>
        <w:spacing w:before="80" w:after="80"/>
        <w:shd w:fill="E8E8E8" w:val="clear"/>
      </w:pPr>
      <w:r>
        <w:rPr>
          <w:i/>
          <w:color w:val="444444"/>
          <w:sz w:val="18"/>
        </w:rPr>
        <w:t>Speaker Notes: Claim contact widget basic properties</w:t>
        <w:br/>
        <w:t>The screenshot in the upper left shows the Plaintiffs (primary) Attorney on a legal Matter, in the IJI- The screenshot in the upper right shows how this appears in the MatterDetailsDV in Studio.</w:t>
        <w:br/>
        <w:br/>
        <w:t>The claim property associates the Claim Contact Input with a specific Claim, and is required. The value is the Plaintiffs Attorney (Matter.plaintiffatt).</w:t>
      </w:r>
    </w:p>
    <w:p>
      <w:pPr>
        <w:pStyle w:val="Heading3"/>
      </w:pPr>
      <w:r>
        <w:rPr>
          <w:sz w:val="24"/>
        </w:rPr>
        <w:t>Slide 27/39: (Untitled)</w:t>
      </w:r>
    </w:p>
    <w:p>
      <w:r>
        <w:rPr>
          <w:i/>
          <w:color w:val="888888"/>
        </w:rPr>
        <w:t>[Image placeholder]</w:t>
      </w:r>
    </w:p>
    <w:p>
      <w:pPr>
        <w:spacing w:before="80" w:after="80"/>
        <w:shd w:fill="E8E8E8" w:val="clear"/>
      </w:pPr>
      <w:r>
        <w:rPr>
          <w:i/>
          <w:color w:val="444444"/>
          <w:sz w:val="18"/>
        </w:rPr>
        <w:t>Speaker Notes: Claim contact widget properties: ValueRange and ValueType</w:t>
        <w:br/>
        <w:t>The valueRange property specifies which contacts associated with the claim can be displayed in the widget. This property must be an array, one of a set of arrays of related contacts associated with the claim. In the example above, the value must be drawn from the Claim’s RelatedAttorneyArray, a derived array, meaning that it is not a physical array on the Claim entity The array is derived from entityroleconstraints-config.xml.</w:t>
        <w:br/>
        <w:br/>
        <w:t>The valueType property of a claim contact widget specifies what type of entity can be displayed by the widget, and must match the contact role constraint of the claim contact being created. In the example above, it must be an Attorney. (If the contact role constraint is not specific enough for a given case,  you can use the forceContactSubtype property</w:t>
      </w:r>
    </w:p>
    <w:p>
      <w:pPr>
        <w:pStyle w:val="Heading3"/>
      </w:pPr>
      <w:r>
        <w:rPr>
          <w:sz w:val="24"/>
        </w:rPr>
        <w:t>Slide 28/39: (Untitled)</w:t>
      </w:r>
    </w:p>
    <w:p>
      <w:r>
        <w:rPr>
          <w:i/>
          <w:color w:val="888888"/>
        </w:rPr>
        <w:t>[Image placeholder]</w:t>
      </w:r>
    </w:p>
    <w:p>
      <w:pPr>
        <w:spacing w:before="80" w:after="80"/>
        <w:shd w:fill="E8E8E8" w:val="clear"/>
      </w:pPr>
      <w:r>
        <w:rPr>
          <w:i/>
          <w:color w:val="444444"/>
          <w:sz w:val="18"/>
        </w:rPr>
        <w:t>Speaker Notes: Claim contact widget advanced properties: newContactMenu</w:t>
        <w:br/>
        <w:t>The "Search" and "View Contact Details" menu items are automatically included by the existence of a claim contact widget. The item or items above it — in the screenshot, New Person — are determined by the newContactMenu property of the widget. This refers to a set of MenultemSet PCF files, each of which specifies one or more type of Contact that can be created. What the MenultemSet actually contains is menu items, each of which has a label and an action. The action is a "push" to the appropriate New Contact Popup PCF file.</w:t>
        <w:br/>
        <w:br/>
        <w:t>The search in the menu can be suppressed to prevent users from searching the address book for contacts by setting the showSearchlnMenu property to false on either a claimcontactinput or a claimcontactcell. But you can not suppress the 'view contact details' menu item.</w:t>
      </w:r>
    </w:p>
    <w:p>
      <w:pPr>
        <w:pStyle w:val="Heading3"/>
      </w:pPr>
      <w:r>
        <w:rPr>
          <w:sz w:val="24"/>
        </w:rPr>
        <w:t>Slide 29/39: (Untitled)</w:t>
      </w:r>
    </w:p>
    <w:p>
      <w:r>
        <w:rPr>
          <w:i/>
          <w:color w:val="888888"/>
        </w:rPr>
        <w:t>[Image placeholder]</w:t>
      </w:r>
    </w:p>
    <w:p>
      <w:pPr>
        <w:pStyle w:val="Heading3"/>
      </w:pPr>
      <w:r>
        <w:rPr>
          <w:sz w:val="24"/>
        </w:rPr>
        <w:t>Slide 30/39: (Untitled)</w:t>
      </w:r>
    </w:p>
    <w:p>
      <w:pPr>
        <w:pStyle w:val="Heading3"/>
      </w:pPr>
      <w:r>
        <w:rPr>
          <w:sz w:val="24"/>
        </w:rPr>
        <w:t>Slide 31/39: (Untitled)</w:t>
      </w:r>
    </w:p>
    <w:p>
      <w:r>
        <w:rPr>
          <w:i/>
          <w:color w:val="888888"/>
        </w:rPr>
        <w:t>[Image placeholder]</w:t>
      </w:r>
    </w:p>
    <w:p>
      <w:pPr>
        <w:pStyle w:val="Heading3"/>
      </w:pPr>
      <w:r>
        <w:rPr>
          <w:sz w:val="24"/>
        </w:rPr>
        <w:t>Slide 32/39: (Untitled)</w:t>
      </w:r>
    </w:p>
    <w:p>
      <w:r>
        <w:rPr>
          <w:i/>
          <w:color w:val="888888"/>
        </w:rPr>
        <w:t>[Image placeholder]</w:t>
      </w:r>
    </w:p>
    <w:p>
      <w:pPr>
        <w:pStyle w:val="Heading3"/>
      </w:pPr>
      <w:r>
        <w:rPr>
          <w:sz w:val="24"/>
        </w:rPr>
        <w:t>Slide 33/39: (Untitled)</w:t>
      </w:r>
    </w:p>
    <w:p>
      <w:r>
        <w:rPr>
          <w:i/>
          <w:color w:val="888888"/>
        </w:rPr>
        <w:t>[Image placeholder]</w:t>
      </w:r>
    </w:p>
    <w:p>
      <w:pPr>
        <w:pStyle w:val="Heading3"/>
      </w:pPr>
      <w:r>
        <w:rPr>
          <w:sz w:val="24"/>
        </w:rPr>
        <w:t>Slide 34/39: (Untitled)</w:t>
      </w:r>
    </w:p>
    <w:p>
      <w:r>
        <w:rPr>
          <w:i/>
          <w:color w:val="888888"/>
        </w:rPr>
        <w:t>[Image placeholder]</w:t>
      </w:r>
    </w:p>
    <w:p>
      <w:pPr>
        <w:pStyle w:val="Heading3"/>
      </w:pPr>
      <w:r>
        <w:rPr>
          <w:sz w:val="24"/>
        </w:rPr>
        <w:t>Slide 35/39: (Untitled)</w:t>
      </w:r>
    </w:p>
    <w:p>
      <w:r>
        <w:rPr>
          <w:i/>
          <w:color w:val="888888"/>
        </w:rPr>
        <w:t>[Image placeholder]</w:t>
      </w:r>
    </w:p>
    <w:p>
      <w:pPr>
        <w:pStyle w:val="Heading3"/>
      </w:pPr>
      <w:r>
        <w:rPr>
          <w:sz w:val="24"/>
        </w:rPr>
        <w:t>Slide 36/39: (Untitled)</w:t>
      </w:r>
    </w:p>
    <w:p>
      <w:r>
        <w:rPr>
          <w:i/>
          <w:color w:val="888888"/>
        </w:rPr>
        <w:t>[Image placeholder]</w:t>
      </w:r>
    </w:p>
    <w:p>
      <w:pPr>
        <w:pStyle w:val="Heading3"/>
      </w:pPr>
      <w:r>
        <w:rPr>
          <w:sz w:val="24"/>
        </w:rPr>
        <w:t>Slide 37/39: (Untitled)</w:t>
      </w:r>
    </w:p>
    <w:p>
      <w:r>
        <w:rPr>
          <w:i/>
          <w:color w:val="888888"/>
        </w:rPr>
        <w:t>[Image placeholder]</w:t>
      </w:r>
    </w:p>
    <w:p>
      <w:pPr>
        <w:pStyle w:val="Heading3"/>
      </w:pPr>
      <w:r>
        <w:rPr>
          <w:sz w:val="24"/>
        </w:rPr>
        <w:t>Slide 38/39: (Untitled)</w:t>
      </w:r>
    </w:p>
    <w:p>
      <w:r>
        <w:rPr>
          <w:i/>
          <w:color w:val="888888"/>
        </w:rPr>
        <w:t>[Image placeholder]</w:t>
      </w:r>
    </w:p>
    <w:p>
      <w:pPr>
        <w:pStyle w:val="Heading3"/>
      </w:pPr>
      <w:r>
        <w:rPr>
          <w:sz w:val="24"/>
        </w:rPr>
        <w:t>Slide 39/39: (Untitled)</w:t>
      </w:r>
    </w:p>
    <w:p>
      <w:r>
        <w:rPr>
          <w:i/>
          <w:color w:val="888888"/>
        </w:rPr>
        <w:t>[Image placeholder]</w:t>
      </w:r>
    </w:p>
    <w:p>
      <w:pPr>
        <w:pStyle w:val="Heading2"/>
      </w:pPr>
      <w:r>
        <w:t>Assignment</w:t>
      </w:r>
    </w:p>
    <w:p>
      <w:r>
        <w:rPr>
          <w:b/>
          <w:color w:val="008800"/>
        </w:rPr>
        <w:t>[Assignment 08]: Configuring Claim Contacts</w:t>
      </w:r>
    </w:p>
    <w:p>
      <w:r>
        <w:rPr>
          <w:i/>
          <w:sz w:val="18"/>
        </w:rPr>
        <w:t>File: 08 - Configuring Claim Contacts.pdf</w:t>
      </w:r>
    </w:p>
    <w:p/>
    <w:p>
      <w:pPr>
        <w:spacing w:before="240"/>
        <w:jc w:val="center"/>
      </w:pPr>
      <w:r>
        <w:rPr>
          <w:i/>
          <w:color w:val="999999"/>
          <w:sz w:val="16"/>
        </w:rPr>
        <w:t>--- End of Lesson 8: Configuring Claim Contacts | 39 slides | 2 videos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