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9: Configuring ClaimCenter Financials - Transactions</w:t>
      </w:r>
    </w:p>
    <w:p>
      <w:pPr>
        <w:spacing w:after="40"/>
      </w:pPr>
      <w:r>
        <w:rPr>
          <w:i/>
          <w:color w:val="999999"/>
          <w:sz w:val="16"/>
        </w:rPr>
        <w:t>Source: 09 - Configuring ClaimCenter Financials - Transactions.pptx</w:t>
      </w:r>
    </w:p>
    <w:p>
      <w:pPr>
        <w:pStyle w:val="Heading3"/>
      </w:pPr>
      <w:r>
        <w:t>Video References</w:t>
      </w:r>
    </w:p>
    <w:p>
      <w:pPr>
        <w:pStyle w:val="ListNumber"/>
      </w:pPr>
      <w:r>
        <w:rPr>
          <w:color w:val="0066CC"/>
          <w:sz w:val="20"/>
        </w:rPr>
        <w:t>[Video 1: CC_09_01.mp4]</w:t>
      </w:r>
    </w:p>
    <w:p>
      <w:pPr>
        <w:pStyle w:val="ListNumber"/>
      </w:pPr>
      <w:r>
        <w:rPr>
          <w:color w:val="0066CC"/>
          <w:sz w:val="20"/>
        </w:rPr>
        <w:t>[Video 2: CC_09_02.mp4]</w:t>
      </w:r>
    </w:p>
    <w:p>
      <w:pPr>
        <w:pStyle w:val="ListNumber"/>
      </w:pPr>
      <w:r>
        <w:rPr>
          <w:color w:val="0066CC"/>
          <w:sz w:val="20"/>
        </w:rPr>
        <w:t>[Video 3: CC_09_03.mp4]</w:t>
      </w:r>
    </w:p>
    <w:p/>
    <w:p>
      <w:pPr>
        <w:pStyle w:val="Heading2"/>
      </w:pPr>
      <w:r>
        <w:t>Slide Content</w:t>
      </w:r>
    </w:p>
    <w:p>
      <w:pPr>
        <w:pStyle w:val="Heading3"/>
      </w:pPr>
      <w:r>
        <w:rPr>
          <w:sz w:val="24"/>
        </w:rPr>
        <w:t>Slide 1/44: (Untitled)</w:t>
      </w:r>
    </w:p>
    <w:p>
      <w:r>
        <w:rPr>
          <w:i/>
          <w:color w:val="888888"/>
        </w:rPr>
        <w:t>[Image placeholder]</w:t>
      </w:r>
    </w:p>
    <w:p>
      <w:pPr>
        <w:pStyle w:val="Heading3"/>
      </w:pPr>
      <w:r>
        <w:rPr>
          <w:sz w:val="24"/>
        </w:rPr>
        <w:t>Slide 2/44: (Untitled)</w:t>
      </w:r>
    </w:p>
    <w:p>
      <w:r>
        <w:rPr>
          <w:i/>
          <w:color w:val="888888"/>
        </w:rPr>
        <w:t>[Image placeholder]</w:t>
      </w:r>
    </w:p>
    <w:p>
      <w:pPr>
        <w:pStyle w:val="Heading3"/>
      </w:pPr>
      <w:r>
        <w:rPr>
          <w:sz w:val="24"/>
        </w:rPr>
        <w:t>Slide 3/44: (Untitled)</w:t>
      </w:r>
    </w:p>
    <w:p>
      <w:r>
        <w:rPr>
          <w:i/>
          <w:color w:val="888888"/>
        </w:rPr>
        <w:t>[Image placeholder]</w:t>
      </w:r>
    </w:p>
    <w:p>
      <w:pPr>
        <w:pStyle w:val="Heading3"/>
      </w:pPr>
      <w:r>
        <w:rPr>
          <w:sz w:val="24"/>
        </w:rPr>
        <w:t>Slide 4/44: (Untitled)</w:t>
      </w:r>
    </w:p>
    <w:p>
      <w:r>
        <w:rPr>
          <w:i/>
          <w:color w:val="888888"/>
        </w:rPr>
        <w:t>[Image placeholder]</w:t>
      </w:r>
    </w:p>
    <w:p>
      <w:pPr>
        <w:spacing w:before="80" w:after="80"/>
        <w:shd w:fill="E8E8E8" w:val="clear"/>
      </w:pPr>
      <w:r>
        <w:rPr>
          <w:i/>
          <w:color w:val="444444"/>
          <w:sz w:val="18"/>
        </w:rPr>
        <w:t>Speaker Notes: Objects that implement ClaimCenter financials</w:t>
        <w:br/>
        <w:t>An exposure is a set of data used to track a potential payment from one coverage to one claimant. A reserve line is an amount of money set aside for expected payments related to a given exposure. Every exposure ultimately has one or more reserve lines. Transactions modify the amount of money in a reserve line.</w:t>
        <w:br/>
        <w:br/>
        <w:t>A reserve transaction modifies the amount of money set aside for the reserve line.  A payment transaction moves money from a reserve line to a payment (check). A check is a single transfer of money from one or more reserve lines to one or more individuals or organizations, and may refer to a physical check or to an electronic funds transfer.</w:t>
        <w:br/>
        <w:br/>
        <w:t>A payee is a person or organization to whom a check is made payable. Payees include both claimants and people who provided services for the claim  (such as inspectors).</w:t>
      </w:r>
    </w:p>
    <w:p>
      <w:pPr>
        <w:pStyle w:val="Heading3"/>
      </w:pPr>
      <w:r>
        <w:rPr>
          <w:sz w:val="24"/>
        </w:rPr>
        <w:t>Slide 5/44: (Untitled)</w:t>
      </w:r>
    </w:p>
    <w:p>
      <w:r>
        <w:rPr>
          <w:i/>
          <w:color w:val="888888"/>
        </w:rPr>
        <w:t>[Image placeholder]</w:t>
      </w:r>
    </w:p>
    <w:p>
      <w:pPr>
        <w:spacing w:before="80" w:after="80"/>
        <w:shd w:fill="E8E8E8" w:val="clear"/>
      </w:pPr>
      <w:r>
        <w:rPr>
          <w:i/>
          <w:color w:val="444444"/>
          <w:sz w:val="18"/>
        </w:rPr>
        <w:t>Speaker Notes: Transactions</w:t>
        <w:br/>
        <w:t>In most cases, a reserve transaction can be thought of as adding money to a reserve line. However, when the amount of money set aside has been deemed too high, a reserve transaction will be used to subtract money from a reserve line without actually paying that money to a claimant or other party.</w:t>
        <w:br/>
        <w:br/>
        <w:t>A payment transaction moves money from a reserve line to a payment (check). In most cases, a payment transaction can be thought of as subtracting money from a reserve line. However, there are circumstances where a payment transaction credits money to a reserve line, possibly because an error occurred and the payee returned the money to the carrier.)</w:t>
        <w:br/>
        <w:br/>
        <w:t>A recovery reserve transaction denotes money the carrier expects to get from subrogation or salvage- A recovery transaction denotes money which has been collected from subrogation or salvage.  Recall the following definitions:</w:t>
        <w:br/>
        <w:br/>
        <w:t>Recovery - refers to all forms of recouping some of the payments made on a claim- There are two primary forms of recovery: subrogation and salvage- Subrogation • the act of the carrier getting financial reimbursement from a 3rd party when someone insured by the carrier suffers a loss and it is not the insured's fault.</w:t>
        <w:br/>
        <w:br/>
        <w:t>Salvage • the act of the carrier paying the full value of damaged property, taking possession of it, and then attempting to recoup some of the cost by reselling the property (or portions of it).</w:t>
        <w:br/>
        <w:br/>
        <w:t>The recovery example shown above is for a collision exposure in which the vehicle is a total loss. The carrier plans to pay the insured for the full value of the vehicle,  which is $3500- The carrier then expects to be able to sell the vehicle to a salvage yard and recoup S3500. A single reserve line can include both recovery and non-recovery transactions-</w:t>
      </w:r>
    </w:p>
    <w:p>
      <w:pPr>
        <w:pStyle w:val="Heading3"/>
      </w:pPr>
      <w:r>
        <w:rPr>
          <w:sz w:val="24"/>
        </w:rPr>
        <w:t>Slide 6/44: (Untitled)</w:t>
      </w:r>
    </w:p>
    <w:p>
      <w:r>
        <w:rPr>
          <w:i/>
          <w:color w:val="888888"/>
        </w:rPr>
        <w:t>[Image placeholder]</w:t>
      </w:r>
    </w:p>
    <w:p>
      <w:pPr>
        <w:spacing w:before="80" w:after="80"/>
        <w:shd w:fill="E8E8E8" w:val="clear"/>
      </w:pPr>
      <w:r>
        <w:rPr>
          <w:i/>
          <w:color w:val="444444"/>
          <w:sz w:val="18"/>
        </w:rPr>
        <w:t>Speaker Notes: Transaction model: Transaction and TransactionSet</w:t>
        <w:br/>
        <w:t>A transaction does not exist in isolation. Every transaction is part of a transaction set.</w:t>
        <w:br/>
        <w:br/>
        <w:t>An easy way to understand the concept of 'TransactionSet' is to think of it as all of the reserve lines created at one time in the 'Set Reserves' screen, or all of the payments created in one pass through the Check Wizard.</w:t>
        <w:br/>
        <w:br/>
        <w:t>In some cases, there may be only one transaction in the transaction set (such as a single reserve transaction creating a new reserve line, or a single check being issued with a single payment transaction from a single reserve line)- In other cases, there may be multiple transactions in the transaction set (such as two reserve transactions creating two new reserve lines at one time, or three checks being issued, two of which have two payment transactions from different reserve lines).  The information stored at the transaction level is generic to all transactions, such as which reserve line it is associated to, what its status is, and what the transaction amount is.</w:t>
        <w:br/>
        <w:br/>
        <w:t>The information stored at the TransactionSet level is information generic to all transaction sets, such as what the total claim amount is, and the array of transactions in the transactions set</w:t>
      </w:r>
    </w:p>
    <w:p>
      <w:pPr>
        <w:pStyle w:val="Heading3"/>
      </w:pPr>
      <w:r>
        <w:rPr>
          <w:sz w:val="24"/>
        </w:rPr>
        <w:t>Slide 7/44: (Untitled)</w:t>
      </w:r>
    </w:p>
    <w:p>
      <w:r>
        <w:rPr>
          <w:i/>
          <w:color w:val="888888"/>
        </w:rPr>
        <w:t>[Image placeholder]</w:t>
      </w:r>
    </w:p>
    <w:p>
      <w:pPr>
        <w:spacing w:before="80" w:after="80"/>
        <w:shd w:fill="E8E8E8" w:val="clear"/>
      </w:pPr>
      <w:r>
        <w:rPr>
          <w:i/>
          <w:color w:val="444444"/>
          <w:sz w:val="18"/>
        </w:rPr>
        <w:t>Speaker Notes: Transaction model: Reserve and ReserveSet</w:t>
        <w:br/>
        <w:t>When a reserve is created, the TransactionSet object is subtyped as a ReserveSet and the transaction object is subtyped as a Reserve.</w:t>
        <w:br/>
        <w:br/>
        <w:t>The Reserve subtype tracks information unique to reserve transactions. In the base application, there are a small number of fields at this level which are complex in nature  (such as TotallncurredGross, which is the total incurred gross for the given reserve).</w:t>
        <w:br/>
        <w:br/>
        <w:t>The ReserveSet subtype tracks information unique to transaction sets which contain only reserves.  In the base application, there is a single array key in this subtype, the Reserves field which contains an array of Reserve objects</w:t>
      </w:r>
    </w:p>
    <w:p>
      <w:pPr>
        <w:pStyle w:val="Heading3"/>
      </w:pPr>
      <w:r>
        <w:rPr>
          <w:sz w:val="24"/>
        </w:rPr>
        <w:t>Slide 8/44: (Untitled)</w:t>
      </w:r>
    </w:p>
    <w:p>
      <w:r>
        <w:rPr>
          <w:i/>
          <w:color w:val="888888"/>
        </w:rPr>
        <w:t>[Image placeholder]</w:t>
      </w:r>
    </w:p>
    <w:p>
      <w:pPr>
        <w:spacing w:before="80" w:after="80"/>
        <w:shd w:fill="E8E8E8" w:val="clear"/>
      </w:pPr>
      <w:r>
        <w:rPr>
          <w:i/>
          <w:color w:val="444444"/>
          <w:sz w:val="18"/>
        </w:rPr>
        <w:t>Speaker Notes: Transaction model: Payment and CheckSet</w:t>
        <w:br/>
        <w:t>When a check is created, the TransactionSet object is subtyped as a CheckSet, the transaction object is subtyped as a Payment, and a third entity - the Check entity - becomes relevant. The Payment subtype tracks information unique to payment transactions. In the base application, this includes a foreign key to the Check object which the payment belongs to, the CloseExposure Boolean,  which indicates whether the payment should or did close the associated exposure, and the payment type (partial, final, or supplemental).</w:t>
        <w:br/>
        <w:br/>
        <w:t>The CheckSet subtype tracks information unique to transaction sets which contain checks. In the base application, this includes a PaymentsAmount which totals all the checks, a Recurring Boolean indicating the check is single or recurring, and an array of Checks.</w:t>
        <w:br/>
        <w:br/>
        <w:t>The Check entity includes information specific to the process of transferring money from the carrier to the payee. This includes the check number, the issue date, the payment method  (automated check, EFT, or manual check), and an array of payment transactions which are contained within the check.</w:t>
      </w:r>
    </w:p>
    <w:p>
      <w:pPr>
        <w:pStyle w:val="Heading3"/>
      </w:pPr>
      <w:r>
        <w:rPr>
          <w:sz w:val="24"/>
        </w:rPr>
        <w:t>Slide 9/44: (Untitled)</w:t>
      </w:r>
    </w:p>
    <w:p>
      <w:r>
        <w:rPr>
          <w:i/>
          <w:color w:val="888888"/>
        </w:rPr>
        <w:t>[Image placeholder]</w:t>
      </w:r>
    </w:p>
    <w:p>
      <w:pPr>
        <w:spacing w:before="80" w:after="80"/>
        <w:shd w:fill="E8E8E8" w:val="clear"/>
      </w:pPr>
      <w:r>
        <w:rPr>
          <w:i/>
          <w:color w:val="444444"/>
          <w:sz w:val="18"/>
        </w:rPr>
        <w:t>Speaker Notes: Eroding and non-eroding payments</w:t>
        <w:br/>
        <w:t>If a payment is "non-eroding“ then the payment does not cause the amount of money in the reserve line to decrease. In this case, the only transactions that are created are payments. Carriers use non-eroding payments when they want to use reserves as an estimate of money needed, but they do not track payments and remaining reserves at a granular level.  If a payment is "eroding", then the payment causes the amount of money in the reserve line to decrease. This means that each payment transaction requires a matching reserve transactiom (If the payment transaction is for $2500, then a reserve transaction must be created with an amount of -S2500 to reflect a $2500 decrease in the reserve line.) The payments are linked to the CheckSet through the Check entity as shown in the diagram on the previous slide. The reserves are linked to the CheckSet through an array in the CheckSet subtype called Reserves. This is an array of CheckSetReserves. A CheckSetReserve is an object which links an automatically generated reserve transaction to a CheckSet.</w:t>
      </w:r>
    </w:p>
    <w:p>
      <w:pPr>
        <w:pStyle w:val="Heading3"/>
      </w:pPr>
      <w:r>
        <w:rPr>
          <w:sz w:val="24"/>
        </w:rPr>
        <w:t>Slide 10/44: (Untitled)</w:t>
      </w:r>
    </w:p>
    <w:p>
      <w:r>
        <w:rPr>
          <w:i/>
          <w:color w:val="888888"/>
        </w:rPr>
        <w:t>[Image placeholder]</w:t>
      </w:r>
    </w:p>
    <w:p>
      <w:pPr>
        <w:pStyle w:val="Heading3"/>
      </w:pPr>
      <w:r>
        <w:rPr>
          <w:sz w:val="24"/>
        </w:rPr>
        <w:t>Slide 11/44: (Untitled)</w:t>
      </w:r>
    </w:p>
    <w:p>
      <w:pPr>
        <w:pStyle w:val="Heading3"/>
      </w:pPr>
      <w:r>
        <w:rPr>
          <w:sz w:val="24"/>
        </w:rPr>
        <w:t>Slide 12/44: (Untitled)</w:t>
      </w:r>
    </w:p>
    <w:p>
      <w:r>
        <w:rPr>
          <w:i/>
          <w:color w:val="888888"/>
        </w:rPr>
        <w:t>[Image placeholder]</w:t>
      </w:r>
    </w:p>
    <w:p>
      <w:pPr>
        <w:pStyle w:val="Heading3"/>
      </w:pPr>
      <w:r>
        <w:rPr>
          <w:sz w:val="24"/>
        </w:rPr>
        <w:t>Slide 13/44: (Untitled)</w:t>
      </w:r>
    </w:p>
    <w:p>
      <w:r>
        <w:rPr>
          <w:i/>
          <w:color w:val="888888"/>
        </w:rPr>
        <w:t>[Image placeholder]</w:t>
      </w:r>
    </w:p>
    <w:p>
      <w:pPr>
        <w:pStyle w:val="Heading3"/>
      </w:pPr>
      <w:r>
        <w:rPr>
          <w:sz w:val="24"/>
        </w:rPr>
        <w:t>Slide 14/44: (Untitled)</w:t>
      </w:r>
    </w:p>
    <w:p>
      <w:r>
        <w:rPr>
          <w:i/>
          <w:color w:val="888888"/>
        </w:rPr>
        <w:t>[Image placeholder]</w:t>
      </w:r>
    </w:p>
    <w:p>
      <w:pPr>
        <w:pStyle w:val="Heading3"/>
      </w:pPr>
      <w:r>
        <w:rPr>
          <w:sz w:val="24"/>
        </w:rPr>
        <w:t>Slide 15/44: (Untitled)</w:t>
      </w:r>
    </w:p>
    <w:p>
      <w:r>
        <w:rPr>
          <w:i/>
          <w:color w:val="888888"/>
        </w:rPr>
        <w:t>[Image placeholder]</w:t>
      </w:r>
    </w:p>
    <w:p>
      <w:pPr>
        <w:pStyle w:val="Heading3"/>
      </w:pPr>
      <w:r>
        <w:rPr>
          <w:sz w:val="24"/>
        </w:rPr>
        <w:t>Slide 16/44: (Untitled)</w:t>
      </w:r>
    </w:p>
    <w:p>
      <w:r>
        <w:rPr>
          <w:i/>
          <w:color w:val="888888"/>
        </w:rPr>
        <w:t>[Image placeholder]</w:t>
      </w:r>
    </w:p>
    <w:p>
      <w:pPr>
        <w:pStyle w:val="Heading3"/>
      </w:pPr>
      <w:r>
        <w:rPr>
          <w:sz w:val="24"/>
        </w:rPr>
        <w:t>Slide 17/44: (Untitled)</w:t>
      </w:r>
    </w:p>
    <w:p>
      <w:r>
        <w:rPr>
          <w:i/>
          <w:color w:val="888888"/>
        </w:rPr>
        <w:t>[Image placeholder]</w:t>
      </w:r>
    </w:p>
    <w:p>
      <w:pPr>
        <w:pStyle w:val="Heading3"/>
      </w:pPr>
      <w:r>
        <w:rPr>
          <w:sz w:val="24"/>
        </w:rPr>
        <w:t>Slide 18/44: (Untitled)</w:t>
      </w:r>
    </w:p>
    <w:p>
      <w:r>
        <w:rPr>
          <w:i/>
          <w:color w:val="888888"/>
        </w:rPr>
        <w:t>[Image placeholder]</w:t>
      </w:r>
    </w:p>
    <w:p>
      <w:pPr>
        <w:pStyle w:val="Heading3"/>
      </w:pPr>
      <w:r>
        <w:rPr>
          <w:sz w:val="24"/>
        </w:rPr>
        <w:t>Slide 19/44: (Untitled)</w:t>
      </w:r>
    </w:p>
    <w:p>
      <w:r>
        <w:rPr>
          <w:i/>
          <w:color w:val="888888"/>
        </w:rPr>
        <w:t>[Image placeholder]</w:t>
      </w:r>
    </w:p>
    <w:p>
      <w:pPr>
        <w:pStyle w:val="Heading3"/>
      </w:pPr>
      <w:r>
        <w:rPr>
          <w:sz w:val="24"/>
        </w:rPr>
        <w:t>Slide 20/44: (Untitled)</w:t>
      </w:r>
    </w:p>
    <w:p>
      <w:r>
        <w:rPr>
          <w:i/>
          <w:color w:val="888888"/>
        </w:rPr>
        <w:t>[Image placeholder]</w:t>
      </w:r>
    </w:p>
    <w:p>
      <w:pPr>
        <w:pStyle w:val="Heading3"/>
      </w:pPr>
      <w:r>
        <w:rPr>
          <w:sz w:val="24"/>
        </w:rPr>
        <w:t>Slide 21/44: (Untitled)</w:t>
      </w:r>
    </w:p>
    <w:p>
      <w:r>
        <w:rPr>
          <w:i/>
          <w:color w:val="888888"/>
        </w:rPr>
        <w:t>[Image placeholder]</w:t>
      </w:r>
    </w:p>
    <w:p>
      <w:pPr>
        <w:pStyle w:val="Heading3"/>
      </w:pPr>
      <w:r>
        <w:rPr>
          <w:sz w:val="24"/>
        </w:rPr>
        <w:t>Slide 22/44: (Untitled)</w:t>
      </w:r>
    </w:p>
    <w:p>
      <w:r>
        <w:rPr>
          <w:i/>
          <w:color w:val="888888"/>
        </w:rPr>
        <w:t>[Image placeholder]</w:t>
      </w:r>
    </w:p>
    <w:p>
      <w:pPr>
        <w:pStyle w:val="Heading3"/>
      </w:pPr>
      <w:r>
        <w:rPr>
          <w:sz w:val="24"/>
        </w:rPr>
        <w:t>Slide 23/44: (Untitled)</w:t>
      </w:r>
    </w:p>
    <w:p>
      <w:r>
        <w:rPr>
          <w:i/>
          <w:color w:val="888888"/>
        </w:rPr>
        <w:t>[Image placeholder]</w:t>
      </w:r>
    </w:p>
    <w:p>
      <w:pPr>
        <w:pStyle w:val="Heading3"/>
      </w:pPr>
      <w:r>
        <w:rPr>
          <w:sz w:val="24"/>
        </w:rPr>
        <w:t>Slide 24/44: (Untitled)</w:t>
      </w:r>
    </w:p>
    <w:p>
      <w:r>
        <w:rPr>
          <w:i/>
          <w:color w:val="888888"/>
        </w:rPr>
        <w:t>[Image placeholder]</w:t>
      </w:r>
    </w:p>
    <w:p>
      <w:pPr>
        <w:pStyle w:val="Heading3"/>
      </w:pPr>
      <w:r>
        <w:rPr>
          <w:sz w:val="24"/>
        </w:rPr>
        <w:t>Slide 25/44: (Untitled)</w:t>
      </w:r>
    </w:p>
    <w:p>
      <w:r>
        <w:rPr>
          <w:i/>
          <w:color w:val="888888"/>
        </w:rPr>
        <w:t>[Image placeholder]</w:t>
      </w:r>
    </w:p>
    <w:p>
      <w:pPr>
        <w:pStyle w:val="Heading3"/>
      </w:pPr>
      <w:r>
        <w:rPr>
          <w:sz w:val="24"/>
        </w:rPr>
        <w:t>Slide 26/44: (Untitled)</w:t>
      </w:r>
    </w:p>
    <w:p>
      <w:r>
        <w:rPr>
          <w:i/>
          <w:color w:val="888888"/>
        </w:rPr>
        <w:t>[Image placeholder]</w:t>
      </w:r>
    </w:p>
    <w:p>
      <w:pPr>
        <w:pStyle w:val="Heading3"/>
      </w:pPr>
      <w:r>
        <w:rPr>
          <w:sz w:val="24"/>
        </w:rPr>
        <w:t>Slide 27/44: (Untitled)</w:t>
      </w:r>
    </w:p>
    <w:p>
      <w:r>
        <w:rPr>
          <w:i/>
          <w:color w:val="888888"/>
        </w:rPr>
        <w:t>[Image placeholder]</w:t>
      </w:r>
    </w:p>
    <w:p>
      <w:pPr>
        <w:pStyle w:val="Heading3"/>
      </w:pPr>
      <w:r>
        <w:rPr>
          <w:sz w:val="24"/>
        </w:rPr>
        <w:t>Slide 28/44: (Untitled)</w:t>
      </w:r>
    </w:p>
    <w:p>
      <w:r>
        <w:rPr>
          <w:i/>
          <w:color w:val="888888"/>
        </w:rPr>
        <w:t>[Image placeholder]</w:t>
      </w:r>
    </w:p>
    <w:p>
      <w:pPr>
        <w:pStyle w:val="Heading3"/>
      </w:pPr>
      <w:r>
        <w:rPr>
          <w:sz w:val="24"/>
        </w:rPr>
        <w:t>Slide 29/44: (Untitled)</w:t>
      </w:r>
    </w:p>
    <w:p>
      <w:r>
        <w:rPr>
          <w:i/>
          <w:color w:val="888888"/>
        </w:rPr>
        <w:t>[Image placeholder]</w:t>
      </w:r>
    </w:p>
    <w:p>
      <w:pPr>
        <w:pStyle w:val="Heading3"/>
      </w:pPr>
      <w:r>
        <w:rPr>
          <w:sz w:val="24"/>
        </w:rPr>
        <w:t>Slide 30/44: (Untitled)</w:t>
      </w:r>
    </w:p>
    <w:p>
      <w:r>
        <w:rPr>
          <w:i/>
          <w:color w:val="888888"/>
        </w:rPr>
        <w:t>[Image placeholder]</w:t>
      </w:r>
    </w:p>
    <w:p>
      <w:pPr>
        <w:pStyle w:val="Heading3"/>
      </w:pPr>
      <w:r>
        <w:rPr>
          <w:sz w:val="24"/>
        </w:rPr>
        <w:t>Slide 31/44: (Untitled)</w:t>
      </w:r>
    </w:p>
    <w:p>
      <w:pPr>
        <w:pStyle w:val="Heading3"/>
      </w:pPr>
      <w:r>
        <w:rPr>
          <w:sz w:val="24"/>
        </w:rPr>
        <w:t>Slide 32/44: (Untitled)</w:t>
      </w:r>
    </w:p>
    <w:p>
      <w:r>
        <w:rPr>
          <w:i/>
          <w:color w:val="888888"/>
        </w:rPr>
        <w:t>[Image placeholder]</w:t>
      </w:r>
    </w:p>
    <w:p>
      <w:pPr>
        <w:pStyle w:val="Heading3"/>
      </w:pPr>
      <w:r>
        <w:rPr>
          <w:sz w:val="24"/>
        </w:rPr>
        <w:t>Slide 33/44: (Untitled)</w:t>
      </w:r>
    </w:p>
    <w:p>
      <w:r>
        <w:rPr>
          <w:i/>
          <w:color w:val="888888"/>
        </w:rPr>
        <w:t>[Image placeholder]</w:t>
      </w:r>
    </w:p>
    <w:p>
      <w:pPr>
        <w:pStyle w:val="Heading3"/>
      </w:pPr>
      <w:r>
        <w:rPr>
          <w:sz w:val="24"/>
        </w:rPr>
        <w:t>Slide 34/44: (Untitled)</w:t>
      </w:r>
    </w:p>
    <w:p>
      <w:r>
        <w:rPr>
          <w:i/>
          <w:color w:val="888888"/>
        </w:rPr>
        <w:t>[Image placeholder]</w:t>
      </w:r>
    </w:p>
    <w:p>
      <w:pPr>
        <w:pStyle w:val="Heading3"/>
      </w:pPr>
      <w:r>
        <w:rPr>
          <w:sz w:val="24"/>
        </w:rPr>
        <w:t>Slide 35/44: (Untitled)</w:t>
      </w:r>
    </w:p>
    <w:p>
      <w:r>
        <w:rPr>
          <w:i/>
          <w:color w:val="888888"/>
        </w:rPr>
        <w:t>[Image placeholder]</w:t>
      </w:r>
    </w:p>
    <w:p>
      <w:pPr>
        <w:pStyle w:val="Heading3"/>
      </w:pPr>
      <w:r>
        <w:rPr>
          <w:sz w:val="24"/>
        </w:rPr>
        <w:t>Slide 36/44: (Untitled)</w:t>
      </w:r>
    </w:p>
    <w:p>
      <w:r>
        <w:rPr>
          <w:i/>
          <w:color w:val="888888"/>
        </w:rPr>
        <w:t>[Image placeholder]</w:t>
      </w:r>
    </w:p>
    <w:p>
      <w:pPr>
        <w:pStyle w:val="Heading3"/>
      </w:pPr>
      <w:r>
        <w:rPr>
          <w:sz w:val="24"/>
        </w:rPr>
        <w:t>Slide 37/44: (Untitled)</w:t>
      </w:r>
    </w:p>
    <w:p>
      <w:r>
        <w:rPr>
          <w:i/>
          <w:color w:val="888888"/>
        </w:rPr>
        <w:t>[Image placeholder]</w:t>
      </w:r>
    </w:p>
    <w:p>
      <w:pPr>
        <w:pStyle w:val="Heading3"/>
      </w:pPr>
      <w:r>
        <w:rPr>
          <w:sz w:val="24"/>
        </w:rPr>
        <w:t>Slide 38/44: (Untitled)</w:t>
      </w:r>
    </w:p>
    <w:p>
      <w:pPr>
        <w:pStyle w:val="Heading3"/>
      </w:pPr>
      <w:r>
        <w:rPr>
          <w:sz w:val="24"/>
        </w:rPr>
        <w:t>Slide 39/44: (Untitled)</w:t>
      </w:r>
    </w:p>
    <w:p>
      <w:r>
        <w:rPr>
          <w:i/>
          <w:color w:val="888888"/>
        </w:rPr>
        <w:t>[Image placeholder]</w:t>
      </w:r>
    </w:p>
    <w:p>
      <w:pPr>
        <w:pStyle w:val="Heading3"/>
      </w:pPr>
      <w:r>
        <w:rPr>
          <w:sz w:val="24"/>
        </w:rPr>
        <w:t>Slide 40/44: (Untitled)</w:t>
      </w:r>
    </w:p>
    <w:p>
      <w:r>
        <w:rPr>
          <w:i/>
          <w:color w:val="888888"/>
        </w:rPr>
        <w:t>[Image placeholder]</w:t>
      </w:r>
    </w:p>
    <w:p>
      <w:pPr>
        <w:pStyle w:val="Heading3"/>
      </w:pPr>
      <w:r>
        <w:rPr>
          <w:sz w:val="24"/>
        </w:rPr>
        <w:t>Slide 41/44: (Untitled)</w:t>
      </w:r>
    </w:p>
    <w:p>
      <w:r>
        <w:rPr>
          <w:i/>
          <w:color w:val="888888"/>
        </w:rPr>
        <w:t>[Image placeholder]</w:t>
      </w:r>
    </w:p>
    <w:p>
      <w:pPr>
        <w:pStyle w:val="Heading3"/>
      </w:pPr>
      <w:r>
        <w:rPr>
          <w:sz w:val="24"/>
        </w:rPr>
        <w:t>Slide 42/44: (Untitled)</w:t>
      </w:r>
    </w:p>
    <w:p>
      <w:r>
        <w:rPr>
          <w:i/>
          <w:color w:val="888888"/>
        </w:rPr>
        <w:t>[Image placeholder]</w:t>
      </w:r>
    </w:p>
    <w:p>
      <w:pPr>
        <w:pStyle w:val="Heading3"/>
      </w:pPr>
      <w:r>
        <w:rPr>
          <w:sz w:val="24"/>
        </w:rPr>
        <w:t>Slide 43/44: (Untitled)</w:t>
      </w:r>
    </w:p>
    <w:p>
      <w:r>
        <w:rPr>
          <w:i/>
          <w:color w:val="888888"/>
        </w:rPr>
        <w:t>[Image placeholder]</w:t>
      </w:r>
    </w:p>
    <w:p>
      <w:pPr>
        <w:pStyle w:val="Heading3"/>
      </w:pPr>
      <w:r>
        <w:rPr>
          <w:sz w:val="24"/>
        </w:rPr>
        <w:t>Slide 44/44: (Untitled)</w:t>
      </w:r>
    </w:p>
    <w:p>
      <w:r>
        <w:rPr>
          <w:i/>
          <w:color w:val="888888"/>
        </w:rPr>
        <w:t>[Image placeholder]</w:t>
      </w:r>
    </w:p>
    <w:p>
      <w:pPr>
        <w:pStyle w:val="Heading2"/>
      </w:pPr>
      <w:r>
        <w:t>Assignment</w:t>
      </w:r>
    </w:p>
    <w:p>
      <w:r>
        <w:rPr>
          <w:b/>
          <w:color w:val="008800"/>
        </w:rPr>
        <w:t>[Assignment 09]: Configuring ClaimCenter Financials - Transactions</w:t>
      </w:r>
    </w:p>
    <w:p>
      <w:r>
        <w:rPr>
          <w:i/>
          <w:sz w:val="18"/>
        </w:rPr>
        <w:t>File: 09 - Configuring ClaimCenter Financials - Transactions.pdf</w:t>
      </w:r>
    </w:p>
    <w:p/>
    <w:p>
      <w:pPr>
        <w:spacing w:before="240"/>
        <w:jc w:val="center"/>
      </w:pPr>
      <w:r>
        <w:rPr>
          <w:i/>
          <w:color w:val="999999"/>
          <w:sz w:val="16"/>
        </w:rPr>
        <w:t>--- End of Lesson 9: Configuring ClaimCenter Financials - Transactions | 44 slides | 3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