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09: ClaimCenter Configuration</w:t>
      </w:r>
    </w:p>
    <w:p>
      <w:pPr>
        <w:pStyle w:val="Heading2"/>
      </w:pPr>
      <w:r>
        <w:rPr>
          <w:color w:val="333333"/>
          <w:sz w:val="28"/>
        </w:rPr>
        <w:t>Lesson 11: Configuring ClaimCenter Financials - Transaction Approvals</w:t>
      </w:r>
    </w:p>
    <w:p>
      <w:pPr>
        <w:spacing w:after="40"/>
      </w:pPr>
      <w:r>
        <w:rPr>
          <w:i/>
          <w:color w:val="999999"/>
          <w:sz w:val="16"/>
        </w:rPr>
        <w:t>Source: 11 - Configuring ClaimCenter Financials - Transaction Approvals.pptx</w:t>
      </w:r>
    </w:p>
    <w:p>
      <w:pPr>
        <w:pStyle w:val="Heading3"/>
      </w:pPr>
      <w:r>
        <w:t>Video References</w:t>
      </w:r>
    </w:p>
    <w:p>
      <w:pPr>
        <w:pStyle w:val="ListNumber"/>
      </w:pPr>
      <w:r>
        <w:rPr>
          <w:color w:val="0066CC"/>
          <w:sz w:val="20"/>
        </w:rPr>
        <w:t>[Video 1: CC_11_01.mp4]</w:t>
      </w:r>
    </w:p>
    <w:p/>
    <w:p>
      <w:pPr>
        <w:pStyle w:val="Heading2"/>
      </w:pPr>
      <w:r>
        <w:t>Slide Content</w:t>
      </w:r>
    </w:p>
    <w:p>
      <w:pPr>
        <w:pStyle w:val="Heading3"/>
      </w:pPr>
      <w:r>
        <w:rPr>
          <w:sz w:val="24"/>
        </w:rPr>
        <w:t>Slide 1/19: (Untitled)</w:t>
      </w:r>
    </w:p>
    <w:p>
      <w:r>
        <w:rPr>
          <w:i/>
          <w:color w:val="888888"/>
        </w:rPr>
        <w:t>[Image placeholder]</w:t>
      </w:r>
    </w:p>
    <w:p>
      <w:pPr>
        <w:pStyle w:val="Heading3"/>
      </w:pPr>
      <w:r>
        <w:rPr>
          <w:sz w:val="24"/>
        </w:rPr>
        <w:t>Slide 2/19: (Untitled)</w:t>
      </w:r>
    </w:p>
    <w:p>
      <w:r>
        <w:rPr>
          <w:i/>
          <w:color w:val="888888"/>
        </w:rPr>
        <w:t>[Image placeholder]</w:t>
      </w:r>
    </w:p>
    <w:p>
      <w:pPr>
        <w:pStyle w:val="Heading3"/>
      </w:pPr>
      <w:r>
        <w:rPr>
          <w:sz w:val="24"/>
        </w:rPr>
        <w:t>Slide 3/19: (Untitled)</w:t>
      </w:r>
    </w:p>
    <w:p>
      <w:r>
        <w:rPr>
          <w:i/>
          <w:color w:val="888888"/>
        </w:rPr>
        <w:t>[Image placeholder]</w:t>
      </w:r>
    </w:p>
    <w:p>
      <w:pPr>
        <w:spacing w:before="80" w:after="80"/>
        <w:shd w:fill="E8E8E8" w:val="clear"/>
      </w:pPr>
      <w:r>
        <w:rPr>
          <w:i/>
          <w:color w:val="444444"/>
          <w:sz w:val="18"/>
        </w:rPr>
        <w:t>Speaker Notes: Financial hold</w:t>
        <w:br/>
        <w:t>Circumstances arise where indemnity payments should not be made on a claim, until certain issues are fixed, cleared up, or explained. When this occurs, ClaimCenter can put a financial hold on the claim, which allows expenses to be paid but prevents indemnities from being paid</w:t>
        <w:br/>
        <w:br/>
        <w:t>In the base configuration, this occurs when coverage is in question; when a claim is "incident only" (in which case there should be no exposures to make payments on); and when the policy is not verified. These factors can be configured; that configuration is the subject of this lesson.</w:t>
      </w:r>
    </w:p>
    <w:p>
      <w:pPr>
        <w:pStyle w:val="Heading3"/>
      </w:pPr>
      <w:r>
        <w:rPr>
          <w:sz w:val="24"/>
        </w:rPr>
        <w:t>Slide 4/19: (Untitled)</w:t>
      </w:r>
    </w:p>
    <w:p>
      <w:r>
        <w:rPr>
          <w:i/>
          <w:color w:val="888888"/>
        </w:rPr>
        <w:t>[Image placeholder]</w:t>
      </w:r>
    </w:p>
    <w:p>
      <w:pPr>
        <w:spacing w:before="80" w:after="80"/>
        <w:shd w:fill="E8E8E8" w:val="clear"/>
      </w:pPr>
      <w:r>
        <w:rPr>
          <w:i/>
          <w:color w:val="444444"/>
          <w:sz w:val="18"/>
        </w:rPr>
        <w:t>Speaker Notes: Determining whether financial hold applies</w:t>
        <w:br/>
        <w:t>The FinancialHoldslmpl class contains exactly one function, applyFinancialHolds(). When run it checks to see if any of the conditions that require a financial hold are true; if at least one is, the function returns True, and a hold is applied; if not, it returns False, and no hold is applied. To configure financial holds behavior, add or remove conditions from the function with appropriate "or"s.</w:t>
      </w:r>
    </w:p>
    <w:p>
      <w:pPr>
        <w:pStyle w:val="Heading3"/>
      </w:pPr>
      <w:r>
        <w:rPr>
          <w:sz w:val="24"/>
        </w:rPr>
        <w:t>Slide 5/19: (Untitled)</w:t>
      </w:r>
    </w:p>
    <w:p>
      <w:r>
        <w:rPr>
          <w:i/>
          <w:color w:val="888888"/>
        </w:rPr>
        <w:t>[Image placeholder]</w:t>
      </w:r>
    </w:p>
    <w:p>
      <w:pPr>
        <w:spacing w:before="80" w:after="80"/>
        <w:shd w:fill="E8E8E8" w:val="clear"/>
      </w:pPr>
      <w:r>
        <w:rPr>
          <w:i/>
          <w:color w:val="444444"/>
          <w:sz w:val="18"/>
        </w:rPr>
        <w:t>Speaker Notes: Financial holds in initial reserve rules</w:t>
        <w:br/>
        <w:t>The example above shows the initial reserve rule "IRR02200 — Trip Cancellation". If the</w:t>
        <w:br/>
        <w:t>•applyFinancialHolds()" method returns true, it adds a note to the claim; otherwise, it creates an initial reserve.</w:t>
      </w:r>
    </w:p>
    <w:p>
      <w:pPr>
        <w:pStyle w:val="Heading3"/>
      </w:pPr>
      <w:r>
        <w:rPr>
          <w:sz w:val="24"/>
        </w:rPr>
        <w:t>Slide 6/19: (Untitled)</w:t>
      </w:r>
    </w:p>
    <w:p>
      <w:r>
        <w:rPr>
          <w:i/>
          <w:color w:val="888888"/>
        </w:rPr>
        <w:t>[Image placeholder]</w:t>
      </w:r>
    </w:p>
    <w:p>
      <w:pPr>
        <w:spacing w:before="80" w:after="80"/>
        <w:shd w:fill="E8E8E8" w:val="clear"/>
      </w:pPr>
      <w:r>
        <w:rPr>
          <w:i/>
          <w:color w:val="444444"/>
          <w:sz w:val="18"/>
        </w:rPr>
        <w:t>Speaker Notes: Coverage in Question (CiQ)</w:t>
        <w:br/>
        <w:t>•Coverage in Question" is true if there is some doubt whether the policy actually covers the claim.</w:t>
      </w:r>
    </w:p>
    <w:p>
      <w:pPr>
        <w:pStyle w:val="Heading3"/>
      </w:pPr>
      <w:r>
        <w:rPr>
          <w:sz w:val="24"/>
        </w:rPr>
        <w:t>Slide 7/19: (Untitled)</w:t>
      </w:r>
    </w:p>
    <w:p>
      <w:r>
        <w:rPr>
          <w:i/>
          <w:color w:val="888888"/>
        </w:rPr>
        <w:t>[Image placeholder]</w:t>
      </w:r>
    </w:p>
    <w:p>
      <w:pPr>
        <w:spacing w:before="80" w:after="80"/>
        <w:shd w:fill="E8E8E8" w:val="clear"/>
      </w:pPr>
      <w:r>
        <w:rPr>
          <w:i/>
          <w:color w:val="444444"/>
          <w:sz w:val="18"/>
        </w:rPr>
        <w:t>Speaker Notes: Determining whether CiQ applies</w:t>
        <w:br/>
        <w:t>Coverage in Question is based on a slightly more complex function,</w:t>
        <w:br/>
        <w:t>isCoveragelnQuestionFactorsNot Empty. This function looks at a hashmap to see if it is empty. If it is empty, then coverage is not in question.</w:t>
        <w:br/>
        <w:t>This hashmap comes from another function,</w:t>
        <w:br/>
        <w:t>getCoveragelnQuestionFactors().</w:t>
        <w:br/>
        <w:t>This function creates an empty hashmap, and then adds an entry to it for any of the conditions which will cause coverage to be in question. To modify this function, add any additional CiQ conditions in "if statements that add an entry to the hashmap  ("coveragelnQuestionMap") if they are true.</w:t>
      </w:r>
    </w:p>
    <w:p>
      <w:pPr>
        <w:pStyle w:val="Heading3"/>
      </w:pPr>
      <w:r>
        <w:rPr>
          <w:sz w:val="24"/>
        </w:rPr>
        <w:t>Slide 8/19: (Untitled)</w:t>
      </w:r>
    </w:p>
    <w:p>
      <w:r>
        <w:rPr>
          <w:i/>
          <w:color w:val="888888"/>
        </w:rPr>
        <w:t>[Image placeholder]</w:t>
      </w:r>
    </w:p>
    <w:p>
      <w:pPr>
        <w:spacing w:before="80" w:after="80"/>
        <w:shd w:fill="E8E8E8" w:val="clear"/>
      </w:pPr>
      <w:r>
        <w:rPr>
          <w:i/>
          <w:color w:val="444444"/>
          <w:sz w:val="18"/>
        </w:rPr>
        <w:t>Speaker Notes: CPU20000 and its children</w:t>
        <w:br/>
        <w:t>You can configure ClaimCenter to do whatever your organization needs when coverage is in question, by adding child rules to CPU20000-</w:t>
        <w:br/>
        <w:t>In the base configuration, CPU20000 has three child rules that:</w:t>
        <w:br/>
        <w:t>Set the claim's</w:t>
        <w:br/>
        <w:t>CoveragelnQuestion flag to true</w:t>
        <w:br/>
        <w:t>Create an activity or activities related to the claim’s coverage being in question</w:t>
        <w:br/>
        <w:t>Create a history activity describing the change to the CiQ status</w:t>
      </w:r>
    </w:p>
    <w:p>
      <w:pPr>
        <w:pStyle w:val="Heading3"/>
      </w:pPr>
      <w:r>
        <w:rPr>
          <w:sz w:val="24"/>
        </w:rPr>
        <w:t>Slide 9/19: (Untitled)</w:t>
      </w:r>
    </w:p>
    <w:p>
      <w:r>
        <w:rPr>
          <w:i/>
          <w:color w:val="888888"/>
        </w:rPr>
        <w:t>[Image placeholder]</w:t>
      </w:r>
    </w:p>
    <w:p>
      <w:pPr>
        <w:spacing w:before="80" w:after="80"/>
        <w:shd w:fill="E8E8E8" w:val="clear"/>
      </w:pPr>
      <w:r>
        <w:rPr>
          <w:i/>
          <w:color w:val="444444"/>
          <w:sz w:val="18"/>
        </w:rPr>
        <w:t>Speaker Notes: TXV15000 and its children</w:t>
        <w:br/>
        <w:t>To change the transaction set types to which financial holds apply, edit the CONDITION clause of TXV15000.</w:t>
        <w:br/>
        <w:br/>
        <w:t>If you have changed the conditions that cause financial holds, change the child rules of TWI 5000 accordinglv</w:t>
      </w:r>
    </w:p>
    <w:p>
      <w:pPr>
        <w:pStyle w:val="Heading3"/>
      </w:pPr>
      <w:r>
        <w:rPr>
          <w:sz w:val="24"/>
        </w:rPr>
        <w:t>Slide 10/19: (Untitled)</w:t>
      </w:r>
    </w:p>
    <w:p>
      <w:r>
        <w:rPr>
          <w:i/>
          <w:color w:val="888888"/>
        </w:rPr>
        <w:t>[Image placeholder]</w:t>
      </w:r>
    </w:p>
    <w:p>
      <w:pPr>
        <w:spacing w:before="80" w:after="80"/>
        <w:shd w:fill="E8E8E8" w:val="clear"/>
      </w:pPr>
      <w:r>
        <w:rPr>
          <w:i/>
          <w:color w:val="444444"/>
          <w:sz w:val="18"/>
        </w:rPr>
        <w:t>Speaker Notes: Summary: configuring financial holds</w:t>
        <w:br/>
        <w:t>To change the factors that trigger financial holds, modify the applyFinancialHolds() function appropriately in the FinancialHoldslmpl.gs class, then modify the child rules of transaction validation rule</w:t>
        <w:br/>
        <w:t>•TXV15000 - Financial Holds" to specify the action taken when each condition applies.</w:t>
        <w:br/>
        <w:t xml:space="preserve">To change the TransactionSets to which financial holds apply, simply edit the rule CONDITION of transaction validation rule </w:t>
        <w:br/>
        <w:t>•TXV15000 - Financial Holds".</w:t>
      </w:r>
    </w:p>
    <w:p>
      <w:pPr>
        <w:pStyle w:val="Heading3"/>
      </w:pPr>
      <w:r>
        <w:rPr>
          <w:sz w:val="24"/>
        </w:rPr>
        <w:t>Slide 11/19: (Untitled)</w:t>
      </w:r>
    </w:p>
    <w:p>
      <w:r>
        <w:rPr>
          <w:i/>
          <w:color w:val="888888"/>
        </w:rPr>
        <w:t>[Image placeholder]</w:t>
      </w:r>
    </w:p>
    <w:p>
      <w:pPr>
        <w:pStyle w:val="Heading3"/>
      </w:pPr>
      <w:r>
        <w:rPr>
          <w:sz w:val="24"/>
        </w:rPr>
        <w:t>Slide 12/19: (Untitled)</w:t>
      </w:r>
    </w:p>
    <w:p>
      <w:pPr>
        <w:pStyle w:val="Heading3"/>
      </w:pPr>
      <w:r>
        <w:rPr>
          <w:sz w:val="24"/>
        </w:rPr>
        <w:t>Slide 13/19: (Untitled)</w:t>
      </w:r>
    </w:p>
    <w:p>
      <w:r>
        <w:rPr>
          <w:i/>
          <w:color w:val="888888"/>
        </w:rPr>
        <w:t>[Image placeholder]</w:t>
      </w:r>
    </w:p>
    <w:p>
      <w:pPr>
        <w:pStyle w:val="Heading3"/>
      </w:pPr>
      <w:r>
        <w:rPr>
          <w:sz w:val="24"/>
        </w:rPr>
        <w:t>Slide 14/19: (Untitled)</w:t>
      </w:r>
    </w:p>
    <w:p>
      <w:r>
        <w:rPr>
          <w:i/>
          <w:color w:val="888888"/>
        </w:rPr>
        <w:t>[Image placeholder]</w:t>
      </w:r>
    </w:p>
    <w:p>
      <w:pPr>
        <w:pStyle w:val="Heading3"/>
      </w:pPr>
      <w:r>
        <w:rPr>
          <w:sz w:val="24"/>
        </w:rPr>
        <w:t>Slide 15/19: (Untitled)</w:t>
      </w:r>
    </w:p>
    <w:p>
      <w:r>
        <w:rPr>
          <w:i/>
          <w:color w:val="888888"/>
        </w:rPr>
        <w:t>[Image placeholder]</w:t>
      </w:r>
    </w:p>
    <w:p>
      <w:pPr>
        <w:pStyle w:val="Heading3"/>
      </w:pPr>
      <w:r>
        <w:rPr>
          <w:sz w:val="24"/>
        </w:rPr>
        <w:t>Slide 16/19: (Untitled)</w:t>
      </w:r>
    </w:p>
    <w:p>
      <w:r>
        <w:rPr>
          <w:i/>
          <w:color w:val="888888"/>
        </w:rPr>
        <w:t>[Image placeholder]</w:t>
      </w:r>
    </w:p>
    <w:p>
      <w:pPr>
        <w:pStyle w:val="Heading3"/>
      </w:pPr>
      <w:r>
        <w:rPr>
          <w:sz w:val="24"/>
        </w:rPr>
        <w:t>Slide 17/19: (Untitled)</w:t>
      </w:r>
    </w:p>
    <w:p>
      <w:r>
        <w:rPr>
          <w:i/>
          <w:color w:val="888888"/>
        </w:rPr>
        <w:t>[Image placeholder]</w:t>
      </w:r>
    </w:p>
    <w:p>
      <w:pPr>
        <w:pStyle w:val="Heading3"/>
      </w:pPr>
      <w:r>
        <w:rPr>
          <w:sz w:val="24"/>
        </w:rPr>
        <w:t>Slide 18/19: (Untitled)</w:t>
      </w:r>
    </w:p>
    <w:p>
      <w:r>
        <w:rPr>
          <w:i/>
          <w:color w:val="888888"/>
        </w:rPr>
        <w:t>[Image placeholder]</w:t>
      </w:r>
    </w:p>
    <w:p>
      <w:pPr>
        <w:pStyle w:val="Heading3"/>
      </w:pPr>
      <w:r>
        <w:rPr>
          <w:sz w:val="24"/>
        </w:rPr>
        <w:t>Slide 19/19: (Untitled)</w:t>
      </w:r>
    </w:p>
    <w:p>
      <w:r>
        <w:rPr>
          <w:i/>
          <w:color w:val="888888"/>
        </w:rPr>
        <w:t>[Image placeholder]</w:t>
      </w:r>
    </w:p>
    <w:p>
      <w:pPr>
        <w:pStyle w:val="Heading2"/>
      </w:pPr>
      <w:r>
        <w:t>Assignment</w:t>
      </w:r>
    </w:p>
    <w:p>
      <w:r>
        <w:rPr>
          <w:b/>
          <w:color w:val="008800"/>
        </w:rPr>
        <w:t>[Assignment 11]: Configuring ClaimCenter Financials - Transaction Approvals</w:t>
      </w:r>
    </w:p>
    <w:p>
      <w:r>
        <w:rPr>
          <w:i/>
          <w:sz w:val="18"/>
        </w:rPr>
        <w:t>File: 11 - Configuring ClaimCenter Financials - Transaction Approvals.pdf</w:t>
      </w:r>
    </w:p>
    <w:p/>
    <w:p>
      <w:pPr>
        <w:spacing w:before="240"/>
        <w:jc w:val="center"/>
      </w:pPr>
      <w:r>
        <w:rPr>
          <w:i/>
          <w:color w:val="999999"/>
          <w:sz w:val="16"/>
        </w:rPr>
        <w:t>--- End of Lesson 11: Configuring ClaimCenter Financials - Transaction Approvals | 19 slides | 1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