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14: Configuring Claim History</w:t>
      </w:r>
    </w:p>
    <w:p>
      <w:pPr>
        <w:spacing w:after="40"/>
      </w:pPr>
      <w:r>
        <w:rPr>
          <w:i/>
          <w:color w:val="999999"/>
          <w:sz w:val="16"/>
        </w:rPr>
        <w:t>Source: 14 - Configuring Claim History.pptx</w:t>
      </w:r>
    </w:p>
    <w:p>
      <w:pPr>
        <w:pStyle w:val="Heading3"/>
      </w:pPr>
      <w:r>
        <w:t>Video References</w:t>
      </w:r>
    </w:p>
    <w:p>
      <w:pPr>
        <w:pStyle w:val="ListNumber"/>
      </w:pPr>
      <w:r>
        <w:rPr>
          <w:color w:val="0066CC"/>
          <w:sz w:val="20"/>
        </w:rPr>
        <w:t>[Video 1: CC_14_01.mp4]</w:t>
      </w:r>
    </w:p>
    <w:p>
      <w:pPr>
        <w:pStyle w:val="ListNumber"/>
      </w:pPr>
      <w:r>
        <w:rPr>
          <w:color w:val="0066CC"/>
          <w:sz w:val="20"/>
        </w:rPr>
        <w:t>[Video 2: CC_14_02.mp4]</w:t>
      </w:r>
    </w:p>
    <w:p/>
    <w:p>
      <w:pPr>
        <w:pStyle w:val="Heading2"/>
      </w:pPr>
      <w:r>
        <w:t>Slide Content</w:t>
      </w:r>
    </w:p>
    <w:p>
      <w:pPr>
        <w:pStyle w:val="Heading3"/>
      </w:pPr>
      <w:r>
        <w:rPr>
          <w:sz w:val="24"/>
        </w:rPr>
        <w:t>Slide 1/25: (Untitled)</w:t>
      </w:r>
    </w:p>
    <w:p>
      <w:r>
        <w:rPr>
          <w:i/>
          <w:color w:val="888888"/>
        </w:rPr>
        <w:t>[Image placeholder]</w:t>
      </w:r>
    </w:p>
    <w:p>
      <w:pPr>
        <w:pStyle w:val="Heading3"/>
      </w:pPr>
      <w:r>
        <w:rPr>
          <w:sz w:val="24"/>
        </w:rPr>
        <w:t>Slide 2/25: (Untitled)</w:t>
      </w:r>
    </w:p>
    <w:p>
      <w:r>
        <w:rPr>
          <w:i/>
          <w:color w:val="888888"/>
        </w:rPr>
        <w:t>[Image placeholder]</w:t>
      </w:r>
    </w:p>
    <w:p>
      <w:pPr>
        <w:pStyle w:val="Heading3"/>
      </w:pPr>
      <w:r>
        <w:rPr>
          <w:sz w:val="24"/>
        </w:rPr>
        <w:t>Slide 3/25: (Untitled)</w:t>
      </w:r>
    </w:p>
    <w:p>
      <w:r>
        <w:rPr>
          <w:i/>
          <w:color w:val="888888"/>
        </w:rPr>
        <w:t>[Image placeholder]</w:t>
      </w:r>
    </w:p>
    <w:p>
      <w:pPr>
        <w:pStyle w:val="Heading3"/>
      </w:pPr>
      <w:r>
        <w:rPr>
          <w:sz w:val="24"/>
        </w:rPr>
        <w:t>Slide 4/25: (Untitled)</w:t>
      </w:r>
    </w:p>
    <w:p>
      <w:r>
        <w:rPr>
          <w:i/>
          <w:color w:val="888888"/>
        </w:rPr>
        <w:t>[Image placeholder]</w:t>
      </w:r>
    </w:p>
    <w:p>
      <w:pPr>
        <w:pStyle w:val="Heading3"/>
      </w:pPr>
      <w:r>
        <w:rPr>
          <w:sz w:val="24"/>
        </w:rPr>
        <w:t>Slide 5/25: (Untitled)</w:t>
      </w:r>
    </w:p>
    <w:p>
      <w:pPr>
        <w:pStyle w:val="Heading3"/>
      </w:pPr>
      <w:r>
        <w:rPr>
          <w:sz w:val="24"/>
        </w:rPr>
        <w:t>Slide 6/25: (Untitled)</w:t>
      </w:r>
    </w:p>
    <w:p>
      <w:r>
        <w:rPr>
          <w:i/>
          <w:color w:val="888888"/>
        </w:rPr>
        <w:t>[Image placeholder]</w:t>
      </w:r>
    </w:p>
    <w:p>
      <w:pPr>
        <w:spacing w:before="80" w:after="80"/>
        <w:shd w:fill="E8E8E8" w:val="clear"/>
      </w:pPr>
      <w:r>
        <w:rPr>
          <w:i/>
          <w:color w:val="444444"/>
          <w:sz w:val="18"/>
        </w:rPr>
        <w:t>Speaker Notes: Claim history</w:t>
        <w:br/>
        <w:t>Because records are uneditable, the claim history acts as a legally referenceable record of who did what with respect to a given claim.</w:t>
        <w:br/>
        <w:t>By configuring history events, the History screen can include any kind of event an insurer wants to track. For example, it can track changes to a field, including both old and new values.</w:t>
      </w:r>
    </w:p>
    <w:p>
      <w:pPr>
        <w:pStyle w:val="Heading3"/>
      </w:pPr>
      <w:r>
        <w:rPr>
          <w:sz w:val="24"/>
        </w:rPr>
        <w:t>Slide 7/25: (Untitled)</w:t>
      </w:r>
    </w:p>
    <w:p>
      <w:r>
        <w:rPr>
          <w:i/>
          <w:color w:val="888888"/>
        </w:rPr>
        <w:t>[Image placeholder]</w:t>
      </w:r>
    </w:p>
    <w:p>
      <w:pPr>
        <w:spacing w:before="80" w:after="80"/>
        <w:shd w:fill="E8E8E8" w:val="clear"/>
      </w:pPr>
      <w:r>
        <w:rPr>
          <w:i/>
          <w:color w:val="444444"/>
          <w:sz w:val="18"/>
        </w:rPr>
        <w:t>Speaker Notes: History record</w:t>
        <w:br/>
        <w:t>Each history record documents a single event-</w:t>
        <w:br/>
        <w:t>Claim history record fields</w:t>
        <w:br/>
        <w:t>include:</w:t>
        <w:br/>
        <w:t xml:space="preserve">Type - The claim event causing the entry in the History table, such as an exposure being opened, closed or reopened, a stopped check, an activity's due date changed, and so on.   </w:t>
        <w:br/>
        <w:t>Related To - Whether the event relates to the entire claim or one of its parts, like an exposure or reserve line.</w:t>
        <w:br/>
        <w:t>User - Person who caused the event.</w:t>
        <w:br/>
        <w:t>Event Time Stamp – Date and time the event occurred (in descending order, by default).</w:t>
        <w:br/>
        <w:t xml:space="preserve">Description - A brief description of the event. This is provided for history entries written by ClaimCenter, and you may add your own when you write rules that create custom history events. </w:t>
        <w:br/>
        <w:t>Link — If available, a link to the DV (Detail View) of the object's details. In the base configuration, links are enabled for Transaction Approvals. That way, you can rapidly review the Approval information — if the Approval was approved or rejected, and why or why noto Note that the creation of a Reserve is not recorded in Claim history in the base application.</w:t>
        <w:br/>
        <w:t>Description and Link are optional fields.</w:t>
      </w:r>
    </w:p>
    <w:p>
      <w:pPr>
        <w:pStyle w:val="Heading3"/>
      </w:pPr>
      <w:r>
        <w:rPr>
          <w:sz w:val="24"/>
        </w:rPr>
        <w:t>Slide 8/25: (Untitled)</w:t>
      </w:r>
    </w:p>
    <w:p>
      <w:r>
        <w:rPr>
          <w:i/>
          <w:color w:val="888888"/>
        </w:rPr>
        <w:t>[Image placeholder]</w:t>
      </w:r>
    </w:p>
    <w:p>
      <w:pPr>
        <w:spacing w:before="80" w:after="80"/>
        <w:shd w:fill="E8E8E8" w:val="clear"/>
      </w:pPr>
      <w:r>
        <w:rPr>
          <w:i/>
          <w:color w:val="444444"/>
          <w:sz w:val="18"/>
        </w:rPr>
        <w:t>Speaker Notes: Claim history type</w:t>
        <w:br/>
        <w:t>The base application claim history event types are defined inthe History Type typelist. These history events will be generatedby ClaimCenter by default regardless of configuration. More details on these event types can be found in the ClaimCenter Application Guide, under the Claim History section.</w:t>
      </w:r>
    </w:p>
    <w:p>
      <w:pPr>
        <w:pStyle w:val="Heading3"/>
      </w:pPr>
      <w:r>
        <w:rPr>
          <w:sz w:val="24"/>
        </w:rPr>
        <w:t>Slide 9/25: (Untitled)</w:t>
      </w:r>
    </w:p>
    <w:p>
      <w:r>
        <w:rPr>
          <w:i/>
          <w:color w:val="888888"/>
        </w:rPr>
        <w:t>[Image placeholder]</w:t>
      </w:r>
    </w:p>
    <w:p>
      <w:pPr>
        <w:spacing w:before="80" w:after="80"/>
        <w:shd w:fill="E8E8E8" w:val="clear"/>
      </w:pPr>
      <w:r>
        <w:rPr>
          <w:i/>
          <w:color w:val="444444"/>
          <w:sz w:val="18"/>
        </w:rPr>
        <w:t>Speaker Notes: HistoryType typelist</w:t>
        <w:br/>
        <w:t>History Type cannot be edited because it is an internal typelist- However, note the type •Custom",  which enables the use of customhistory types, as we will see later in this lesson.</w:t>
      </w:r>
    </w:p>
    <w:p>
      <w:pPr>
        <w:pStyle w:val="Heading3"/>
      </w:pPr>
      <w:r>
        <w:rPr>
          <w:sz w:val="24"/>
        </w:rPr>
        <w:t>Slide 10/25: (Untitled)</w:t>
      </w:r>
    </w:p>
    <w:p>
      <w:r>
        <w:rPr>
          <w:i/>
          <w:color w:val="888888"/>
        </w:rPr>
        <w:t>[Image placeholder]</w:t>
      </w:r>
    </w:p>
    <w:p>
      <w:pPr>
        <w:pStyle w:val="Heading3"/>
      </w:pPr>
      <w:r>
        <w:rPr>
          <w:sz w:val="24"/>
        </w:rPr>
        <w:t>Slide 11/25: (Untitled)</w:t>
      </w:r>
    </w:p>
    <w:p>
      <w:r>
        <w:rPr>
          <w:i/>
          <w:color w:val="888888"/>
        </w:rPr>
        <w:t>[Image placeholder]</w:t>
      </w:r>
    </w:p>
    <w:p>
      <w:pPr>
        <w:pStyle w:val="Heading3"/>
      </w:pPr>
      <w:r>
        <w:rPr>
          <w:sz w:val="24"/>
        </w:rPr>
        <w:t>Slide 12/25: (Untitled)</w:t>
      </w:r>
    </w:p>
    <w:p>
      <w:r>
        <w:rPr>
          <w:i/>
          <w:color w:val="888888"/>
        </w:rPr>
        <w:t>[Image placeholder]</w:t>
      </w:r>
    </w:p>
    <w:p>
      <w:pPr>
        <w:pStyle w:val="Heading3"/>
      </w:pPr>
      <w:r>
        <w:rPr>
          <w:sz w:val="24"/>
        </w:rPr>
        <w:t>Slide 13/25: (Untitled)</w:t>
      </w:r>
    </w:p>
    <w:p>
      <w:r>
        <w:rPr>
          <w:i/>
          <w:color w:val="888888"/>
        </w:rPr>
        <w:t>[Image placeholder]</w:t>
      </w:r>
    </w:p>
    <w:p>
      <w:pPr>
        <w:pStyle w:val="Heading3"/>
      </w:pPr>
      <w:r>
        <w:rPr>
          <w:sz w:val="24"/>
        </w:rPr>
        <w:t>Slide 14/25: (Untitled)</w:t>
      </w:r>
    </w:p>
    <w:p>
      <w:r>
        <w:rPr>
          <w:i/>
          <w:color w:val="888888"/>
        </w:rPr>
        <w:t>[Image placeholder]</w:t>
      </w:r>
    </w:p>
    <w:p>
      <w:pPr>
        <w:pStyle w:val="Heading3"/>
      </w:pPr>
      <w:r>
        <w:rPr>
          <w:sz w:val="24"/>
        </w:rPr>
        <w:t>Slide 15/25: (Untitled)</w:t>
      </w:r>
    </w:p>
    <w:p>
      <w:r>
        <w:rPr>
          <w:i/>
          <w:color w:val="888888"/>
        </w:rPr>
        <w:t>[Image placeholder]</w:t>
      </w:r>
    </w:p>
    <w:p>
      <w:pPr>
        <w:spacing w:before="80" w:after="80"/>
        <w:shd w:fill="E8E8E8" w:val="clear"/>
      </w:pPr>
      <w:r>
        <w:rPr>
          <w:i/>
          <w:color w:val="444444"/>
          <w:sz w:val="18"/>
        </w:rPr>
        <w:t>Speaker Notes: Creating custom claim history types</w:t>
        <w:br/>
        <w:t>You can add new history types to the CustomHistoryType typelist and use them to create custom history events using preupdate rules.</w:t>
        <w:br/>
        <w:br/>
        <w:t>When you add a custom history event to a claim's history, the value in the Name field appears as the history type.</w:t>
        <w:br/>
        <w:br/>
        <w:t>The image shows the CustomHistoryType typelist as it appears in the base application.</w:t>
      </w:r>
    </w:p>
    <w:p>
      <w:pPr>
        <w:pStyle w:val="Heading3"/>
      </w:pPr>
      <w:r>
        <w:rPr>
          <w:sz w:val="24"/>
        </w:rPr>
        <w:t>Slide 16/25: (Untitled)</w:t>
      </w:r>
    </w:p>
    <w:p>
      <w:r>
        <w:rPr>
          <w:i/>
          <w:color w:val="888888"/>
        </w:rPr>
        <w:t>[Image placeholder]</w:t>
      </w:r>
    </w:p>
    <w:p>
      <w:pPr>
        <w:spacing w:before="80" w:after="80"/>
        <w:shd w:fill="E8E8E8" w:val="clear"/>
      </w:pPr>
      <w:r>
        <w:rPr>
          <w:i/>
          <w:color w:val="444444"/>
          <w:sz w:val="18"/>
        </w:rPr>
        <w:t>Speaker Notes: Recording custom history events</w:t>
        <w:br/>
        <w:t>In the image, we use the base application's "exposure with no reserves" custom history type to create a history record when an exposure with no reserves is created or updated.</w:t>
      </w:r>
    </w:p>
    <w:p>
      <w:pPr>
        <w:pStyle w:val="Heading3"/>
      </w:pPr>
      <w:r>
        <w:rPr>
          <w:sz w:val="24"/>
        </w:rPr>
        <w:t>Slide 17/25: (Untitled)</w:t>
      </w:r>
    </w:p>
    <w:p>
      <w:r>
        <w:rPr>
          <w:i/>
          <w:color w:val="888888"/>
        </w:rPr>
        <w:t>[Image placeholder]</w:t>
      </w:r>
    </w:p>
    <w:p>
      <w:pPr>
        <w:spacing w:before="80" w:after="80"/>
        <w:shd w:fill="E8E8E8" w:val="clear"/>
      </w:pPr>
      <w:r>
        <w:rPr>
          <w:i/>
          <w:color w:val="444444"/>
          <w:sz w:val="18"/>
        </w:rPr>
        <w:t>Speaker Notes: Testing fields for changes</w:t>
        <w:br/>
        <w:t>You can find out whether a field has changed using the isFieldChanged() method. This is useful for setting the condition on a preupdate rule.</w:t>
      </w:r>
    </w:p>
    <w:p>
      <w:pPr>
        <w:pStyle w:val="Heading3"/>
      </w:pPr>
      <w:r>
        <w:rPr>
          <w:sz w:val="24"/>
        </w:rPr>
        <w:t>Slide 18/25: (Untitled)</w:t>
      </w:r>
    </w:p>
    <w:p>
      <w:r>
        <w:rPr>
          <w:i/>
          <w:color w:val="888888"/>
        </w:rPr>
        <w:t>[Image placeholder]</w:t>
      </w:r>
    </w:p>
    <w:p>
      <w:pPr>
        <w:spacing w:before="80" w:after="80"/>
        <w:shd w:fill="E8E8E8" w:val="clear"/>
      </w:pPr>
      <w:r>
        <w:rPr>
          <w:i/>
          <w:color w:val="444444"/>
          <w:sz w:val="18"/>
        </w:rPr>
        <w:t>Speaker Notes: Finding original field values</w:t>
        <w:br/>
        <w:t>You can find the original value for a changed field using the getOriginaIValue() method. This is useful both for conditions and for setting the description field ofa claim history entry.</w:t>
      </w:r>
    </w:p>
    <w:p>
      <w:pPr>
        <w:pStyle w:val="Heading3"/>
      </w:pPr>
      <w:r>
        <w:rPr>
          <w:sz w:val="24"/>
        </w:rPr>
        <w:t>Slide 19/25: (Untitled)</w:t>
      </w:r>
    </w:p>
    <w:p>
      <w:r>
        <w:rPr>
          <w:i/>
          <w:color w:val="888888"/>
        </w:rPr>
        <w:t>[Image placeholder]</w:t>
      </w:r>
    </w:p>
    <w:p>
      <w:pPr>
        <w:pStyle w:val="Heading3"/>
      </w:pPr>
      <w:r>
        <w:rPr>
          <w:sz w:val="24"/>
        </w:rPr>
        <w:t>Slide 20/25: (Untitled)</w:t>
      </w:r>
    </w:p>
    <w:p>
      <w:pPr>
        <w:pStyle w:val="Heading3"/>
      </w:pPr>
      <w:r>
        <w:rPr>
          <w:sz w:val="24"/>
        </w:rPr>
        <w:t>Slide 21/25: (Untitled)</w:t>
      </w:r>
    </w:p>
    <w:p>
      <w:r>
        <w:rPr>
          <w:i/>
          <w:color w:val="888888"/>
        </w:rPr>
        <w:t>[Image placeholder]</w:t>
      </w:r>
    </w:p>
    <w:p>
      <w:pPr>
        <w:pStyle w:val="Heading3"/>
      </w:pPr>
      <w:r>
        <w:rPr>
          <w:sz w:val="24"/>
        </w:rPr>
        <w:t>Slide 22/25: (Untitled)</w:t>
      </w:r>
    </w:p>
    <w:p>
      <w:r>
        <w:rPr>
          <w:i/>
          <w:color w:val="888888"/>
        </w:rPr>
        <w:t>[Image placeholder]</w:t>
      </w:r>
    </w:p>
    <w:p>
      <w:pPr>
        <w:pStyle w:val="Heading3"/>
      </w:pPr>
      <w:r>
        <w:rPr>
          <w:sz w:val="24"/>
        </w:rPr>
        <w:t>Slide 23/25: (Untitled)</w:t>
      </w:r>
    </w:p>
    <w:p>
      <w:r>
        <w:rPr>
          <w:i/>
          <w:color w:val="888888"/>
        </w:rPr>
        <w:t>[Image placeholder]</w:t>
      </w:r>
    </w:p>
    <w:p>
      <w:pPr>
        <w:pStyle w:val="Heading3"/>
      </w:pPr>
      <w:r>
        <w:rPr>
          <w:sz w:val="24"/>
        </w:rPr>
        <w:t>Slide 24/25: (Untitled)</w:t>
      </w:r>
    </w:p>
    <w:p>
      <w:r>
        <w:rPr>
          <w:i/>
          <w:color w:val="888888"/>
        </w:rPr>
        <w:t>[Image placeholder]</w:t>
      </w:r>
    </w:p>
    <w:p>
      <w:pPr>
        <w:pStyle w:val="Heading3"/>
      </w:pPr>
      <w:r>
        <w:rPr>
          <w:sz w:val="24"/>
        </w:rPr>
        <w:t>Slide 25/25: (Untitled)</w:t>
      </w:r>
    </w:p>
    <w:p>
      <w:r>
        <w:rPr>
          <w:i/>
          <w:color w:val="888888"/>
        </w:rPr>
        <w:t>[Image placeholder]</w:t>
      </w:r>
    </w:p>
    <w:p>
      <w:pPr>
        <w:pStyle w:val="Heading2"/>
      </w:pPr>
      <w:r>
        <w:t>Assignment</w:t>
      </w:r>
    </w:p>
    <w:p>
      <w:r>
        <w:rPr>
          <w:b/>
          <w:color w:val="008800"/>
        </w:rPr>
        <w:t>[Assignment 14]: Configuring Claim History</w:t>
      </w:r>
    </w:p>
    <w:p>
      <w:r>
        <w:rPr>
          <w:i/>
          <w:sz w:val="18"/>
        </w:rPr>
        <w:t>File: 14 - Configuring Claim History.pdf</w:t>
      </w:r>
    </w:p>
    <w:p/>
    <w:p>
      <w:pPr>
        <w:spacing w:before="240"/>
        <w:jc w:val="center"/>
      </w:pPr>
      <w:r>
        <w:rPr>
          <w:i/>
          <w:color w:val="999999"/>
          <w:sz w:val="16"/>
        </w:rPr>
        <w:t>--- End of Lesson 14: Configuring Claim History | 25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