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 Introduction to Integration</w:t>
      </w:r>
    </w:p>
    <w:p>
      <w:pPr>
        <w:spacing w:after="40"/>
      </w:pPr>
      <w:r>
        <w:rPr>
          <w:i/>
          <w:color w:val="999999"/>
          <w:sz w:val="16"/>
        </w:rPr>
        <w:t>Source: Introduction to Integration.pptx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1/25: (Untitled)</w:t>
      </w:r>
    </w:p>
    <w:p>
      <w:r>
        <w:rPr>
          <w:i/>
          <w:color w:val="888888"/>
        </w:rPr>
        <w:t>[Image placeholder]</w:t>
      </w:r>
    </w:p>
    <w:p>
      <w:pPr>
        <w:pStyle w:val="Heading3"/>
      </w:pPr>
      <w:r>
        <w:rPr>
          <w:sz w:val="24"/>
        </w:rPr>
        <w:t>Slide 2/25: (Untitled)</w:t>
      </w:r>
    </w:p>
    <w:p>
      <w:r>
        <w:rPr>
          <w:i/>
          <w:color w:val="888888"/>
        </w:rPr>
        <w:t>[Image placeholder]</w:t>
      </w:r>
    </w:p>
    <w:p>
      <w:pPr>
        <w:pStyle w:val="Heading3"/>
      </w:pPr>
      <w:r>
        <w:rPr>
          <w:sz w:val="24"/>
        </w:rPr>
        <w:t>Slide 3/25: (Untitled)</w:t>
      </w:r>
    </w:p>
    <w:p>
      <w:r>
        <w:rPr>
          <w:i/>
          <w:color w:val="888888"/>
        </w:rPr>
        <w:t>[Image placeholder]</w:t>
      </w:r>
    </w:p>
    <w:p>
      <w:pPr>
        <w:pStyle w:val="Heading3"/>
      </w:pPr>
      <w:r>
        <w:rPr>
          <w:sz w:val="24"/>
        </w:rPr>
        <w:t>Slide 4/25: (Untitled)</w:t>
      </w:r>
    </w:p>
    <w:p>
      <w:r>
        <w:rPr>
          <w:i/>
          <w:color w:val="888888"/>
        </w:rPr>
        <w:t>[Image placeholder]</w:t>
      </w:r>
    </w:p>
    <w:p>
      <w:pPr>
        <w:spacing w:before="80" w:after="80"/>
        <w:shd w:fill="E8E8E8" w:val="clear"/>
      </w:pPr>
      <w:r>
        <w:rPr>
          <w:i/>
          <w:color w:val="444444"/>
          <w:sz w:val="18"/>
        </w:rPr>
        <w:t>Speaker Notes: Insurance Suite integration mechanisms: Overview</w:t>
        <w:br/>
        <w:t>Java Platform, Enterprise Edition (Java EE) The Application Server implements Java EE technology which defines the standard for developing multitier enterprise applications. The Java EE platform simplifies enterprise applications by basing them on standardized, modular components, by providing a complete set of services to those components, and by handling many details of application behavior automatically, without complex programming.</w:t>
        <w:br/>
        <w:br/>
        <w:t xml:space="preserve"> In the next section we will identify five common integration mechanisms used in Guidewire InsuranceSuite: </w:t>
        <w:br/>
        <w:t xml:space="preserve">Batch processes </w:t>
        <w:br/>
        <w:t xml:space="preserve">Database tables </w:t>
        <w:br/>
        <w:t xml:space="preserve">Web Services </w:t>
        <w:br/>
        <w:t xml:space="preserve">Messaging, and </w:t>
        <w:br/>
        <w:t>Plugins — Startable and Pre-defined.</w:t>
      </w:r>
    </w:p>
    <w:p>
      <w:pPr>
        <w:pStyle w:val="Heading3"/>
      </w:pPr>
      <w:r>
        <w:rPr>
          <w:sz w:val="24"/>
        </w:rPr>
        <w:t>Slide 5/25: (Untitled)</w:t>
      </w:r>
    </w:p>
    <w:p>
      <w:r>
        <w:rPr>
          <w:i/>
          <w:color w:val="888888"/>
        </w:rPr>
        <w:t>[Image placeholder]</w:t>
      </w:r>
    </w:p>
    <w:p>
      <w:pPr>
        <w:spacing w:before="80" w:after="80"/>
        <w:shd w:fill="E8E8E8" w:val="clear"/>
      </w:pPr>
      <w:r>
        <w:rPr>
          <w:i/>
          <w:color w:val="444444"/>
          <w:sz w:val="18"/>
        </w:rPr>
        <w:t>Speaker Notes: Integration mechanism: Batch processes</w:t>
        <w:br/>
        <w:t>A batch process completes background work that must be done on a periodic basis without user input. In this regard, a batch process is not triggered typically by a specific business event.</w:t>
      </w:r>
    </w:p>
    <w:p>
      <w:pPr>
        <w:pStyle w:val="Heading3"/>
      </w:pPr>
      <w:r>
        <w:rPr>
          <w:sz w:val="24"/>
        </w:rPr>
        <w:t>Slide 6/25: (Untitled)</w:t>
      </w:r>
    </w:p>
    <w:p>
      <w:r>
        <w:rPr>
          <w:i/>
          <w:color w:val="888888"/>
        </w:rPr>
        <w:t>[Image placeholder]</w:t>
      </w:r>
    </w:p>
    <w:p>
      <w:pPr>
        <w:spacing w:before="80" w:after="80"/>
        <w:shd w:fill="E8E8E8" w:val="clear"/>
      </w:pPr>
      <w:r>
        <w:rPr>
          <w:i/>
          <w:color w:val="444444"/>
          <w:sz w:val="18"/>
        </w:rPr>
        <w:t>Speaker Notes: Integration Mechanism: Integration tables</w:t>
        <w:br/>
        <w:t xml:space="preserve">Often, an integration point needs to write information that is static, queryable, processable and reprocessable. Integration points based on writin  information initially to a file can be unstable — the file could easily be deleted and there may not be an easy way to retrieve or recreate it- Integration points that initially write information to a stand- alone database table are more stable. The rows in the database cannot easily be deleted. They provide a static snapshot of the data at a given point in time. The information can be queried, flagged as processed, and potentially reprocessed ifsomething goes wrong. </w:t>
        <w:br/>
        <w:t xml:space="preserve">Common data access technologies used for Integration tables: </w:t>
        <w:br/>
        <w:t xml:space="preserve"> JDBC -JDBC is an API for the Java programming language that defines how a client may access a database. It provides methods for querying updating data in a database. JDBC is oriented towards relational databases. A JDBC-to- ODBC bridge enables connections to any ODBC-accessible data source in the JVM host environment </w:t>
        <w:br/>
        <w:t>Spring — The Spring Framework is an open source application framework for the Java platform.Althrough the Spring Framework does not impose any specific programming model, it has become popular in the Java community as an alternative to  replacement for, or even addition to the JavaBean model-</w:t>
        <w:br/>
        <w:t>Hibernate — Hibernate is an object-relational mapping (ORM) library for the Java language,  providing a framework for mapping an object-oriented domain model to a traditional relational database. Hibernates primary feature is mapping from Java classes to database tables (and from Java data types to SQL data types).</w:t>
      </w:r>
    </w:p>
    <w:p>
      <w:pPr>
        <w:pStyle w:val="Heading3"/>
      </w:pPr>
      <w:r>
        <w:rPr>
          <w:sz w:val="24"/>
        </w:rPr>
        <w:t>Slide 7/25: (Untitled)</w:t>
      </w:r>
    </w:p>
    <w:p>
      <w:r>
        <w:rPr>
          <w:i/>
          <w:color w:val="888888"/>
        </w:rPr>
        <w:t>[Image placeholder]</w:t>
      </w:r>
    </w:p>
    <w:p>
      <w:pPr>
        <w:spacing w:before="80" w:after="80"/>
        <w:shd w:fill="E8E8E8" w:val="clear"/>
      </w:pPr>
      <w:r>
        <w:rPr>
          <w:i/>
          <w:color w:val="444444"/>
          <w:sz w:val="18"/>
        </w:rPr>
        <w:t>Speaker Notes: Integration Tables for file-based exchange</w:t>
        <w:br/>
        <w:t xml:space="preserve">When data must be written out to a static repository, the most common technique is to use an integration table. The table sits in a separate database. Either Guidewire or an external system writes information to the table.  Periodically, some sort of tool, such as a batch process,  processes the rows in the table.  For example, a batch process could write all unprocessed rows in the table into a file, change the status of the unprocessed rows to processed, and then make the file available to the consuming system. This practice is recommended under Guidewire Best Practices for file-based exchange as well. </w:t>
        <w:br/>
        <w:br/>
        <w:t>Integration tables are not used just to generate files. They can also be used for reporting, data warehouses, or any other requirement in which one must have a snapshot of the state of the application at a specific point in time. For example, an integration point could contain information about invoices overdue or claims filed. This information could then be copied into a data warehouse.</w:t>
      </w:r>
    </w:p>
    <w:p>
      <w:pPr>
        <w:pStyle w:val="Heading3"/>
      </w:pPr>
      <w:r>
        <w:rPr>
          <w:sz w:val="24"/>
        </w:rPr>
        <w:t>Slide 8/25: (Untitled)</w:t>
      </w:r>
    </w:p>
    <w:p>
      <w:r>
        <w:rPr>
          <w:i/>
          <w:color w:val="888888"/>
        </w:rPr>
        <w:t>[Image placeholder]</w:t>
      </w:r>
    </w:p>
    <w:p>
      <w:pPr>
        <w:spacing w:before="80" w:after="80"/>
        <w:shd w:fill="E8E8E8" w:val="clear"/>
      </w:pPr>
      <w:r>
        <w:rPr>
          <w:i/>
          <w:color w:val="444444"/>
          <w:sz w:val="18"/>
        </w:rPr>
        <w:t>Speaker Notes: Integration Mechanism: Web services</w:t>
        <w:br/>
        <w:t>RESTful Web Services - REST stands for</w:t>
        <w:br/>
        <w:t>Representational State Transfer. REST is an architectural style not a protocol.</w:t>
        <w:br/>
        <w:br/>
        <w:t>Advantages of RESTful</w:t>
        <w:br/>
        <w:t>Web Services:</w:t>
        <w:br/>
        <w:t xml:space="preserve">• Fast-RESTful Web Services are fast because there is no strict specification like SOAP. It consumes less bandwidth and resources. </w:t>
        <w:br/>
        <w:t>Language and Platform independent — RESTful web services can be written in any programming language and executed in any platform-</w:t>
        <w:br/>
        <w:t>• Can use SOAP —</w:t>
        <w:br/>
        <w:t>RESTful web services can use SOAP web services as the implementation. Permits different data format — RESTful web service permits different data format such as Plain Text, HTML, XML and JSON.</w:t>
        <w:br/>
        <w:br/>
        <w:t>SOAP Web Services —</w:t>
        <w:br/>
        <w:t>SOAP stands for Simple Object Access Protocol. It is a XML-based protocol for accessing web services.  SOAP is a W3C</w:t>
        <w:br/>
        <w:t>recommendation for communication between two applications. It is platform independent and language independent. By using SOAP, you will be able to interact with other programming language appIications .</w:t>
        <w:br/>
        <w:br/>
        <w:t>Advantages of Soap Web Services:</w:t>
        <w:br/>
        <w:t>WS Security – SOAP defines its own security known as WS Security-</w:t>
        <w:br/>
        <w:t>Language and Platform independent — SOAP web services can be written in any programming language and executed in any platform.</w:t>
        <w:br/>
        <w:t>Disadvantages of Soap</w:t>
        <w:br/>
        <w:t>Web Services:</w:t>
        <w:br/>
        <w:t>Slow - SOAP uses XML format that must be parsed to be read. It defines many standards that must be followed while developing the SOAP applications. So it is slow and consumes more bandwidth and resource.</w:t>
        <w:br/>
        <w:t>WSDL dependent — SOAP uses WSDL and the ways to discover the service are not widely diffused (UDDI).</w:t>
      </w:r>
    </w:p>
    <w:p>
      <w:pPr>
        <w:pStyle w:val="Heading3"/>
      </w:pPr>
      <w:r>
        <w:rPr>
          <w:sz w:val="24"/>
        </w:rPr>
        <w:t>Slide 9/25: (Untitled)</w:t>
      </w:r>
    </w:p>
    <w:p>
      <w:r>
        <w:rPr>
          <w:i/>
          <w:color w:val="888888"/>
        </w:rPr>
        <w:t>[Image placeholder]</w:t>
      </w:r>
    </w:p>
    <w:p>
      <w:pPr>
        <w:spacing w:before="80" w:after="80"/>
        <w:shd w:fill="E8E8E8" w:val="clear"/>
      </w:pPr>
      <w:r>
        <w:rPr>
          <w:i/>
          <w:color w:val="444444"/>
          <w:sz w:val="18"/>
        </w:rPr>
        <w:t>Speaker Notes: Integration Mechanism: Messaging</w:t>
        <w:br/>
        <w:t>Messaging involves the exchange of data between two systems that consists of messages. Each message describes events, requests, and/or replies. The exchange of information in messaging is typically asynchronous. The system that creates the message does not necessarily send the message immediately after it has been created. The system that receives the message does not necessarily process the message immediately after it is received.</w:t>
        <w:br/>
        <w:br/>
        <w:t>Sun Microsystem's Java Message Service (JMS) and IBM's MQSeries are examples of technologies that provide messaging interfaces and service.</w:t>
      </w:r>
    </w:p>
    <w:p>
      <w:pPr>
        <w:pStyle w:val="Heading3"/>
      </w:pPr>
      <w:r>
        <w:rPr>
          <w:sz w:val="24"/>
        </w:rPr>
        <w:t>Slide 10/25: (Untitled)</w:t>
      </w:r>
    </w:p>
    <w:p>
      <w:r>
        <w:rPr>
          <w:i/>
          <w:color w:val="888888"/>
        </w:rPr>
        <w:t>[Image placeholder]</w:t>
      </w:r>
    </w:p>
    <w:p>
      <w:pPr>
        <w:spacing w:before="80" w:after="80"/>
        <w:shd w:fill="E8E8E8" w:val="clear"/>
      </w:pPr>
      <w:r>
        <w:rPr>
          <w:i/>
          <w:color w:val="444444"/>
          <w:sz w:val="18"/>
        </w:rPr>
        <w:t>Speaker Notes: Messaging in Insurance Suite: An example</w:t>
        <w:br/>
        <w:t xml:space="preserve">Insurance Suite supports asynchronous messaging with an event-based model that captures events in Insurance Suite applications and notifies subscribed systems of those events. For example, when a check is successfully created in Claim Center, Insurance Suite may send a request to a check printing system to issue a check for given claim.  The Insurance Suite messaging framework uses a subscription model to guarantee at-least-once delivery of all messages by requiring an unequivocal acknowledgement from each target system to which a message was delivered- In the slide example, the Check Printing System will reply with a check number. Not all Guidewire messaging interactions will be asynchronous from the perspective of the target systems, but this is a common approach.  Successful messaging to and from Insurance Suite makes use of: </w:t>
        <w:br/>
        <w:t xml:space="preserve">Event Fired rules </w:t>
        <w:br/>
        <w:t>Destinations Messaging plugins (These plugins have behaviors that are somewhat different than predefined plugins.)</w:t>
        <w:br/>
        <w:t xml:space="preserve">XML or JSON </w:t>
        <w:br/>
        <w:br/>
        <w:t>Examples of Insurance Suite applications using</w:t>
        <w:br/>
        <w:t>Messaging:</w:t>
        <w:br/>
        <w:t>Policy Center — Send billing instruction to Billing Center for a new policy created in Policy Center</w:t>
        <w:br/>
        <w:t>Billing Center — Send notice of unpaid premium to a collection agency</w:t>
        <w:br/>
        <w:t>Claim Center — Send request to check printing system to issue a check for given claim</w:t>
      </w:r>
    </w:p>
    <w:p>
      <w:pPr>
        <w:pStyle w:val="Heading3"/>
      </w:pPr>
      <w:r>
        <w:rPr>
          <w:sz w:val="24"/>
        </w:rPr>
        <w:t>Slide 11/25: (Untitled)</w:t>
      </w:r>
    </w:p>
    <w:p>
      <w:r>
        <w:rPr>
          <w:i/>
          <w:color w:val="888888"/>
        </w:rPr>
        <w:t>[Image placeholder]</w:t>
      </w:r>
    </w:p>
    <w:p>
      <w:pPr>
        <w:spacing w:before="80" w:after="80"/>
        <w:shd w:fill="E8E8E8" w:val="clear"/>
      </w:pPr>
      <w:r>
        <w:rPr>
          <w:i/>
          <w:color w:val="444444"/>
          <w:sz w:val="18"/>
        </w:rPr>
        <w:t>Speaker Notes: Integration Mechanism: Star-table plugins</w:t>
        <w:br/>
        <w:t>You can register custom code that runs at server startup in the form of a startable plugin implementation. You can use a startable plugin as a daemon,  such as listenerto a JMS queue.  You can use a startable plugin for periodic batch processing, such as deleting expired files from a file system folder. You can use a startable plugin as an initializer, such as loading configuration data into the application database.</w:t>
        <w:br/>
        <w:br/>
        <w:t>You can start and stop startable plugins as circumstances require. You can't start or stop standard types of plugins. Instead, code in a standard Guidewire plugin executes only when other code invokes its methods.</w:t>
      </w:r>
    </w:p>
    <w:p>
      <w:pPr>
        <w:pStyle w:val="Heading3"/>
      </w:pPr>
      <w:r>
        <w:rPr>
          <w:sz w:val="24"/>
        </w:rPr>
        <w:t>Slide 12/25: (Untitled)</w:t>
      </w:r>
    </w:p>
    <w:p>
      <w:r>
        <w:rPr>
          <w:i/>
          <w:color w:val="888888"/>
        </w:rPr>
        <w:t>[Image placeholder]</w:t>
      </w:r>
    </w:p>
    <w:p>
      <w:pPr>
        <w:spacing w:before="80" w:after="80"/>
        <w:shd w:fill="E8E8E8" w:val="clear"/>
      </w:pPr>
      <w:r>
        <w:rPr>
          <w:i/>
          <w:color w:val="444444"/>
          <w:sz w:val="18"/>
        </w:rPr>
        <w:t>Speaker Notes: Integration Mechanism: Predefined plugins</w:t>
        <w:br/>
        <w:t>Some predefined plugins must interact with external systems, such as an authentication plugin or a geocoding plugin. Other plugins are not required to interact with external systems. For example,  number generator plugins generate unique numbers following specific patterns for primary entities- These plugins are not required to interact with external systems, and often they execute logic that is stored entirely within Guidewire.</w:t>
        <w:br/>
        <w:br/>
        <w:t>In Guidewire, there are three functionally different types of plugins: messaging plugins,  startable plugins, and predefined (non-messaging,  non-startable)-</w:t>
        <w:br/>
        <w:br/>
        <w:t>Note, plugins can also be written in Java- If you implement a plugin interface in Java, there are two ways to deploy your code:</w:t>
        <w:br/>
        <w:t>• Java plugin —A Java class. You must use an IDE other than Studio. If you write your plugin in Java, you must regularly regenerate the Java API libraries to compile against the latest libraries- You can use any Java IDE.  You can choose to use the included IntelliJ IDEA with OSGi Editor for Java plugin development even if you do not choose to use OSGi. To deploy your compiled Java classes and any libraries, see Deploy Non-OSGi Java Classes and JARs in the Integration Guide-</w:t>
        <w:br/>
        <w:t>• OSGi plugin —A Java class encapsulated in an OSGi bundle. You must use an IDE other than Studio. The OSGi framework is a Java module system and service platform that helps cleanly isolate code modules and any necessary Java libraries. To simplify OSGi configuration,  InsuranceSuite includes an application called IntelliJ IDEA with OSGi Editor. To deploy your compiled Java classes and any libraries, see OSGi Plugin Deployment with IntelliJ IDEA with OSGi Editor in the Integration Guide.</w:t>
      </w:r>
    </w:p>
    <w:p>
      <w:pPr>
        <w:pStyle w:val="Heading3"/>
      </w:pPr>
      <w:r>
        <w:rPr>
          <w:sz w:val="24"/>
        </w:rPr>
        <w:t>Slide 13/25: (Untitled)</w:t>
      </w:r>
    </w:p>
    <w:p>
      <w:r>
        <w:rPr>
          <w:i/>
          <w:color w:val="888888"/>
        </w:rPr>
        <w:t>[Image placeholder]</w:t>
      </w:r>
    </w:p>
    <w:p>
      <w:pPr>
        <w:spacing w:before="80" w:after="80"/>
        <w:shd w:fill="E8E8E8" w:val="clear"/>
      </w:pPr>
      <w:r>
        <w:rPr>
          <w:i/>
          <w:color w:val="444444"/>
          <w:sz w:val="18"/>
        </w:rPr>
        <w:t>Speaker Notes: Summary of integration mechanisms</w:t>
        <w:br/>
        <w:t>In the table above, the Triggered by row lists the event that typically triggers the integration mechanism. It is not an exhaustive list of triggers for theintegration mechanism.</w:t>
        <w:br/>
        <w:br/>
        <w:t>LDAP — Lightweight Directory Access Protocol</w:t>
      </w:r>
    </w:p>
    <w:p>
      <w:pPr>
        <w:pStyle w:val="Heading3"/>
      </w:pPr>
      <w:r>
        <w:rPr>
          <w:sz w:val="24"/>
        </w:rPr>
        <w:t>Slide 14/25: (Untitled)</w:t>
      </w:r>
    </w:p>
    <w:p>
      <w:r>
        <w:rPr>
          <w:i/>
          <w:color w:val="888888"/>
        </w:rPr>
        <w:t>[Image placeholder]</w:t>
      </w:r>
    </w:p>
    <w:p>
      <w:pPr>
        <w:spacing w:before="80" w:after="80"/>
        <w:shd w:fill="E8E8E8" w:val="clear"/>
      </w:pPr>
      <w:r>
        <w:rPr>
          <w:i/>
          <w:color w:val="444444"/>
          <w:sz w:val="18"/>
        </w:rPr>
        <w:t>Speaker Notes: Contrasting integration mechanisms</w:t>
        <w:br/>
        <w:t>The table above contrasts different integration mechanisms with respect toData Exchange Timing(synch, asynch, and scheduled) and Data Exchange Direction(outbound and inbound)  The table does not describe absolute rules, and any implementation may use the mechanisms in ways that do not exactly adhere to the table.</w:t>
        <w:br/>
        <w:br/>
        <w:t>The columns of the table separate the mechanisms into two general categories:</w:t>
        <w:br/>
        <w:t>Outbound, which means the data exchange is initiated by Guidewire, and</w:t>
        <w:br/>
        <w:t>Inbound, which means the data exchange is initiated by the external system-</w:t>
        <w:br/>
        <w:br/>
        <w:t>Keep in mind that most integration points involve a two-way exchange of data,  regardless of who initiates the exchange. For example,  when authenticating a user,  Guidewire initially sends information to the external system- Then, the external system replies with information on whether the user has been authenticated- So data typically flows in both directions. The critical point is which system initiated the exchange.</w:t>
        <w:br/>
        <w:br/>
        <w:t>* Some predefined plugins do not typically interact with other systems. For example, ClaimCenteis claim number generator plugin and BillingCenteds commission calculation plugin typically execute logic entirely internal to Guidewire. When a plugin does interact with other systems, the data exchange is outbound.</w:t>
        <w:br/>
        <w:t>** Batch processes can be initiated by the scheduler or by a web service call from an external system- So technically, they could be either outbound or inbound- In practice, most batch processes are initiated by the scheduler and are therefore outbound. In other cases, Guidewire application initiate a batch process from the internal API-</w:t>
      </w:r>
    </w:p>
    <w:p>
      <w:pPr>
        <w:pStyle w:val="Heading3"/>
      </w:pPr>
      <w:r>
        <w:rPr>
          <w:sz w:val="24"/>
        </w:rPr>
        <w:t>Slide 15/25: (Untitled)</w:t>
      </w:r>
    </w:p>
    <w:p>
      <w:r>
        <w:rPr>
          <w:i/>
          <w:color w:val="888888"/>
        </w:rPr>
        <w:t>[Image placeholder]</w:t>
      </w:r>
    </w:p>
    <w:p>
      <w:pPr>
        <w:pStyle w:val="Heading3"/>
      </w:pPr>
      <w:r>
        <w:rPr>
          <w:sz w:val="24"/>
        </w:rPr>
        <w:t>Slide 16/25: (Untitled)</w:t>
      </w:r>
    </w:p>
    <w:p>
      <w:r>
        <w:rPr>
          <w:i/>
          <w:color w:val="888888"/>
        </w:rPr>
        <w:t>[Image placeholder]</w:t>
      </w:r>
    </w:p>
    <w:p>
      <w:pPr>
        <w:spacing w:before="80" w:after="80"/>
        <w:shd w:fill="E8E8E8" w:val="clear"/>
      </w:pPr>
      <w:r>
        <w:rPr>
          <w:i/>
          <w:color w:val="444444"/>
          <w:sz w:val="18"/>
        </w:rPr>
        <w:t>Speaker Notes: The training environment</w:t>
        <w:br/>
        <w:t>Guidewire recommends that all development work be done using the Dynamic Code Evolution Virtual Machine (DCEVM). With DCEVM, there are numerous situations where you can deploy new code simply by saving the code in Studio and reloading the changed class or compiling the class- Without DCEVM, you must often stop and restart the server to deploy your new code. If your classroom environment was set up as recommended by Guidewire,  then DCEVM has been installed. For more information on DCEVM, refer to the Installation Guide.</w:t>
        <w:br/>
        <w:br/>
        <w:t>The Guidewire applications used in this course (TrainingApp and ExternalApp) come with shortcuts that can be used to start and stop the application and start Studio- These shortcuts assume that the Guidewire applications are in the directory. If these applications are stored in a different directory in your environment, then you will need to modify the shortcuts to point to the correct directories, or start and stop applications manually through the command line interface.  You'll also need to update the database-config.xml and logging-properties (or log4j2.xml) files.</w:t>
        <w:br/>
        <w:br/>
        <w:t>You will often work in Guidewire Studio and deploy changes in a Debug 'Server’ process. You can stop and start the debug 'server’ process from Guidewire Studio.</w:t>
        <w:br/>
        <w:br/>
        <w:t>Studio is the primary IDE used for integration development</w:t>
        <w:br/>
        <w:t>Create and register predefined plugins</w:t>
        <w:br/>
        <w:t>Create web service collections to consume external SOAP web services</w:t>
        <w:br/>
        <w:t>Create Guidewire web services (REST/SOAP) for external systems to consume</w:t>
        <w:br/>
        <w:t>Create messaging integrations</w:t>
        <w:br/>
        <w:t>Create startable plugins</w:t>
        <w:br/>
        <w:t>Create batch processes</w:t>
      </w:r>
    </w:p>
    <w:p>
      <w:pPr>
        <w:pStyle w:val="Heading3"/>
      </w:pPr>
      <w:r>
        <w:rPr>
          <w:sz w:val="24"/>
        </w:rPr>
        <w:t>Slide 17/25: (Untitled)</w:t>
      </w:r>
    </w:p>
    <w:p>
      <w:r>
        <w:rPr>
          <w:i/>
          <w:color w:val="888888"/>
        </w:rPr>
        <w:t>[Image placeholder]</w:t>
      </w:r>
    </w:p>
    <w:p>
      <w:pPr>
        <w:spacing w:before="80" w:after="80"/>
        <w:shd w:fill="E8E8E8" w:val="clear"/>
      </w:pPr>
      <w:r>
        <w:rPr>
          <w:i/>
          <w:color w:val="444444"/>
          <w:sz w:val="18"/>
        </w:rPr>
        <w:t>Speaker Notes: Training App for integration students</w:t>
        <w:br/>
        <w:t>TrainingApp is a modified version of ContactManager- It is not sold as a genuine Guidewire product- It is used exclusively by GuidewireEducation for teaching students about platform-level functionality.</w:t>
        <w:br/>
        <w:br/>
        <w:t xml:space="preserve">TrainingApp contains examples and partially-built functionality for both configuration students and integration students- The legal case report integration point shown above is a fullyfunctional integration point that uses Guidewire messaging and web services to request a legal case report from an external syste process the reply when it is received, and display any reports received. The integration point interacts with ExternalApp (which is discussed on the next slide), so you must have ExternalApp running to see the end-to-end functionality.  </w:t>
        <w:br/>
        <w:br/>
        <w:t xml:space="preserve">To view the legal case report integration point: </w:t>
        <w:br/>
        <w:t xml:space="preserve">Start ExternalApp (Navigate to and double-click the Start ExternalApp shortcut.)  </w:t>
        <w:br/>
        <w:t xml:space="preserve">In TrainingApp, navigate to an ABDoctor (such as Samantha Andrews). </w:t>
        <w:br/>
        <w:t>On the Details screen’s Person Info card, click the Request Case Report button. (This disables theRequest Case Report button and displays the Report requested text)</w:t>
        <w:br/>
        <w:t>You can view the consoles of both TrainingApp and ExternalApp to view the exchange on information between the two systems.</w:t>
      </w:r>
    </w:p>
    <w:p>
      <w:pPr>
        <w:pStyle w:val="Heading3"/>
      </w:pPr>
      <w:r>
        <w:rPr>
          <w:sz w:val="24"/>
        </w:rPr>
        <w:t>Slide 18/25: (Untitled)</w:t>
      </w:r>
    </w:p>
    <w:p>
      <w:r>
        <w:rPr>
          <w:i/>
          <w:color w:val="888888"/>
        </w:rPr>
        <w:t>[Image placeholder]</w:t>
      </w:r>
    </w:p>
    <w:p>
      <w:pPr>
        <w:spacing w:before="80" w:after="80"/>
        <w:shd w:fill="E8E8E8" w:val="clear"/>
      </w:pPr>
      <w:r>
        <w:rPr>
          <w:i/>
          <w:color w:val="444444"/>
          <w:sz w:val="18"/>
        </w:rPr>
        <w:t>Speaker Notes: ExternalApp for integration students</w:t>
        <w:br/>
        <w:t>ExternalApp is a modified version of ContactManager. However, the modifications in ExternalApp are significantly less than that of TrainingApp. Beyond the base application, it has just a small number of web services, batch processes, and logic to react to incoming requests. You do not need to have ExternalApp running at all times. If a TrainingApp example or course lab requires the application to be running, then explicit notes or instructions identify this.</w:t>
      </w:r>
    </w:p>
    <w:p>
      <w:pPr>
        <w:pStyle w:val="Heading3"/>
      </w:pPr>
      <w:r>
        <w:rPr>
          <w:sz w:val="24"/>
        </w:rPr>
        <w:t>Slide 19/25: (Untitled)</w:t>
      </w:r>
    </w:p>
    <w:p>
      <w:r>
        <w:rPr>
          <w:i/>
          <w:color w:val="888888"/>
        </w:rPr>
        <w:t>[Image placeholder]</w:t>
      </w:r>
    </w:p>
    <w:p>
      <w:pPr>
        <w:spacing w:before="80" w:after="80"/>
        <w:shd w:fill="E8E8E8" w:val="clear"/>
      </w:pPr>
      <w:r>
        <w:rPr>
          <w:i/>
          <w:color w:val="444444"/>
          <w:sz w:val="18"/>
        </w:rPr>
        <w:t>Speaker Notes: Guidewire integration documentation</w:t>
        <w:br/>
        <w:t>Documentation is located in&lt;application&gt;/doc folder.</w:t>
        <w:br/>
        <w:br/>
        <w:t>There are several sets of documentation that are specific to a given instance of a Guidewire application. Each set must be generated. This includes the following:</w:t>
        <w:br/>
        <w:t>The Data Dictionary, which documents the entities and typelists in the Guidewire data model. It is generated using the gwb genDataDictionary command (which also generates the Security Dictionary). Once generated, it is located in ary\data-</w:t>
        <w:br/>
        <w:t>The Security Dictionary, which documents the system permissions and roles for the application. It is generated using the gwb genDataDictionary command (which also generates the Data Dictionary). Once generated, it is located in ary\security-</w:t>
        <w:br/>
        <w:t>The GosuDocs, which documents the Gosu type system- It is generated using the gwb gosudoc command. Once generated, it is located in oc.</w:t>
        <w:br/>
        <w:t>The Guidewire Java API Javadocs, which documents the Java classes that represent Guidewire entities,  typelists, and plugin interfaces. It is generated using the gwb genJavaApi command. Once generated, it is located in &lt;application&gt;/Javadoc.</w:t>
      </w:r>
    </w:p>
    <w:p>
      <w:pPr>
        <w:pStyle w:val="Heading3"/>
      </w:pPr>
      <w:r>
        <w:rPr>
          <w:sz w:val="24"/>
        </w:rPr>
        <w:t>Slide 20/25: (Untitled)</w:t>
      </w:r>
    </w:p>
    <w:p>
      <w:r>
        <w:rPr>
          <w:i/>
          <w:color w:val="888888"/>
        </w:rPr>
        <w:t>[Image placeholder]</w:t>
      </w:r>
    </w:p>
    <w:p>
      <w:pPr>
        <w:spacing w:before="80" w:after="80"/>
        <w:shd w:fill="E8E8E8" w:val="clear"/>
      </w:pPr>
      <w:r>
        <w:rPr>
          <w:i/>
          <w:color w:val="444444"/>
          <w:sz w:val="18"/>
        </w:rPr>
        <w:t>Speaker Notes: Deploying integration resources</w:t>
        <w:br/>
        <w:t>The chart shown here is a good reference to note as to what action to take during development to deploy changes.</w:t>
      </w:r>
    </w:p>
    <w:p>
      <w:pPr>
        <w:pStyle w:val="Heading3"/>
      </w:pPr>
      <w:r>
        <w:rPr>
          <w:sz w:val="24"/>
        </w:rPr>
        <w:t>Slide 21/25: (Untitled)</w:t>
      </w:r>
    </w:p>
    <w:p>
      <w:r>
        <w:rPr>
          <w:i/>
          <w:color w:val="888888"/>
        </w:rPr>
        <w:t>[Image placeholder]</w:t>
      </w:r>
    </w:p>
    <w:p>
      <w:pPr>
        <w:pStyle w:val="Heading3"/>
      </w:pPr>
      <w:r>
        <w:rPr>
          <w:sz w:val="24"/>
        </w:rPr>
        <w:t>Slide 22/25: (Untitled)</w:t>
      </w:r>
    </w:p>
    <w:p>
      <w:r>
        <w:rPr>
          <w:i/>
          <w:color w:val="888888"/>
        </w:rPr>
        <w:t>[Image placeholder]</w:t>
      </w:r>
    </w:p>
    <w:p>
      <w:pPr>
        <w:pStyle w:val="Heading3"/>
      </w:pPr>
      <w:r>
        <w:rPr>
          <w:sz w:val="24"/>
        </w:rPr>
        <w:t>Slide 23/25: (Untitled)</w:t>
      </w:r>
    </w:p>
    <w:p>
      <w:r>
        <w:rPr>
          <w:i/>
          <w:color w:val="888888"/>
        </w:rPr>
        <w:t>[Image placeholder]</w:t>
      </w:r>
    </w:p>
    <w:p>
      <w:pPr>
        <w:pStyle w:val="Heading3"/>
      </w:pPr>
      <w:r>
        <w:rPr>
          <w:sz w:val="24"/>
        </w:rPr>
        <w:t>Slide 24/25: (Untitled)</w:t>
      </w:r>
    </w:p>
    <w:p>
      <w:r>
        <w:rPr>
          <w:i/>
          <w:color w:val="888888"/>
        </w:rPr>
        <w:t>[Image placeholder]</w:t>
      </w:r>
    </w:p>
    <w:p>
      <w:pPr>
        <w:pStyle w:val="Heading3"/>
      </w:pPr>
      <w:r>
        <w:rPr>
          <w:sz w:val="24"/>
        </w:rPr>
        <w:t>Slide 25/25: (Untitled)</w:t>
      </w:r>
    </w:p>
    <w:p>
      <w:r>
        <w:rPr>
          <w:i/>
          <w:color w:val="888888"/>
        </w:rPr>
        <w:t>[Image placeholder]</w:t>
      </w:r>
    </w:p>
    <w:p>
      <w:pPr>
        <w:pStyle w:val="Heading2"/>
      </w:pPr>
      <w:r>
        <w:t>Assignment</w:t>
      </w:r>
    </w:p>
    <w:p>
      <w:r>
        <w:rPr>
          <w:b/>
          <w:color w:val="008800"/>
        </w:rPr>
        <w:t>[Assignment 01]: Introduction to Integration</w:t>
      </w:r>
    </w:p>
    <w:p>
      <w:r>
        <w:rPr>
          <w:i/>
          <w:sz w:val="18"/>
        </w:rPr>
        <w:t>File: 01 - Introduction to Integration.pdf</w:t>
      </w:r>
    </w:p>
    <w:p/>
    <w:p>
      <w:pPr>
        <w:spacing w:before="240"/>
        <w:jc w:val="center"/>
      </w:pPr>
      <w:r>
        <w:rPr>
          <w:i/>
          <w:color w:val="999999"/>
          <w:sz w:val="16"/>
        </w:rPr>
        <w:t>--- End of Lesson 1: Introduction to Integration | 25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