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11: Introduction to Integration</w:t>
      </w:r>
    </w:p>
    <w:p>
      <w:pPr>
        <w:pStyle w:val="Heading2"/>
      </w:pPr>
      <w:r>
        <w:rPr>
          <w:color w:val="333333"/>
          <w:sz w:val="28"/>
        </w:rPr>
        <w:t>Lesson 9: SOAP Web Services</w:t>
      </w:r>
    </w:p>
    <w:p>
      <w:pPr>
        <w:spacing w:after="40"/>
      </w:pPr>
      <w:r>
        <w:rPr>
          <w:i/>
          <w:color w:val="999999"/>
          <w:sz w:val="16"/>
        </w:rPr>
        <w:t>Source: SOAP Web Services.pptx</w:t>
      </w:r>
    </w:p>
    <w:p>
      <w:pPr>
        <w:pStyle w:val="Heading3"/>
      </w:pPr>
      <w:r>
        <w:t>Video References</w:t>
      </w:r>
    </w:p>
    <w:p>
      <w:pPr>
        <w:pStyle w:val="ListNumber"/>
      </w:pPr>
      <w:r>
        <w:rPr>
          <w:color w:val="0066CC"/>
          <w:sz w:val="20"/>
        </w:rPr>
        <w:t>[Video 1: In_02_01.mp4]</w:t>
      </w:r>
    </w:p>
    <w:p>
      <w:pPr>
        <w:pStyle w:val="ListNumber"/>
      </w:pPr>
      <w:r>
        <w:rPr>
          <w:color w:val="0066CC"/>
          <w:sz w:val="20"/>
        </w:rPr>
        <w:t>[Video 2: In_03_01.mp4]</w:t>
      </w:r>
    </w:p>
    <w:p>
      <w:pPr>
        <w:pStyle w:val="ListNumber"/>
      </w:pPr>
      <w:r>
        <w:rPr>
          <w:color w:val="0066CC"/>
          <w:sz w:val="20"/>
        </w:rPr>
        <w:t>[Video 3: In_04_01.mp4]</w:t>
      </w:r>
    </w:p>
    <w:p>
      <w:pPr>
        <w:pStyle w:val="ListNumber"/>
      </w:pPr>
      <w:r>
        <w:rPr>
          <w:color w:val="0066CC"/>
          <w:sz w:val="20"/>
        </w:rPr>
        <w:t>[Video 4: In_05_01.mp4]</w:t>
      </w:r>
    </w:p>
    <w:p>
      <w:pPr>
        <w:pStyle w:val="ListNumber"/>
      </w:pPr>
      <w:r>
        <w:rPr>
          <w:color w:val="0066CC"/>
          <w:sz w:val="20"/>
        </w:rPr>
        <w:t>[Video 5: In_06_01.mp4]</w:t>
      </w:r>
    </w:p>
    <w:p>
      <w:pPr>
        <w:pStyle w:val="ListNumber"/>
      </w:pPr>
      <w:r>
        <w:rPr>
          <w:color w:val="0066CC"/>
          <w:sz w:val="20"/>
        </w:rPr>
        <w:t>[Video 6: In_07_01.mp4]</w:t>
      </w:r>
    </w:p>
    <w:p>
      <w:pPr>
        <w:pStyle w:val="ListNumber"/>
      </w:pPr>
      <w:r>
        <w:rPr>
          <w:color w:val="0066CC"/>
          <w:sz w:val="20"/>
        </w:rPr>
        <w:t>[Video 7: In_08_01.mp4]</w:t>
      </w:r>
    </w:p>
    <w:p>
      <w:pPr>
        <w:pStyle w:val="ListNumber"/>
      </w:pPr>
      <w:r>
        <w:rPr>
          <w:color w:val="0066CC"/>
          <w:sz w:val="20"/>
        </w:rPr>
        <w:t>[Video 8: In_09_01.mp4]</w:t>
      </w:r>
    </w:p>
    <w:p>
      <w:pPr>
        <w:pStyle w:val="ListNumber"/>
      </w:pPr>
      <w:r>
        <w:rPr>
          <w:color w:val="0066CC"/>
          <w:sz w:val="20"/>
        </w:rPr>
        <w:t>[Video 9: In_09_02.mp4]</w:t>
      </w:r>
    </w:p>
    <w:p>
      <w:pPr>
        <w:pStyle w:val="ListNumber"/>
      </w:pPr>
      <w:r>
        <w:rPr>
          <w:color w:val="0066CC"/>
          <w:sz w:val="20"/>
        </w:rPr>
        <w:t>[Video 10: In_10_01.mp4]</w:t>
      </w:r>
    </w:p>
    <w:p>
      <w:pPr>
        <w:pStyle w:val="ListNumber"/>
      </w:pPr>
      <w:r>
        <w:rPr>
          <w:color w:val="0066CC"/>
          <w:sz w:val="20"/>
        </w:rPr>
        <w:t>[Video 11: In_11_01.mp4]</w:t>
      </w:r>
    </w:p>
    <w:p>
      <w:pPr>
        <w:pStyle w:val="ListNumber"/>
      </w:pPr>
      <w:r>
        <w:rPr>
          <w:color w:val="0066CC"/>
          <w:sz w:val="20"/>
        </w:rPr>
        <w:t>[Video 12: In_12_01.mp4]</w:t>
      </w:r>
    </w:p>
    <w:p>
      <w:pPr>
        <w:pStyle w:val="ListNumber"/>
      </w:pPr>
      <w:r>
        <w:rPr>
          <w:color w:val="0066CC"/>
          <w:sz w:val="20"/>
        </w:rPr>
        <w:t>[Video 13: In_13_01.mp4]</w:t>
      </w:r>
    </w:p>
    <w:p>
      <w:pPr>
        <w:pStyle w:val="ListNumber"/>
      </w:pPr>
      <w:r>
        <w:rPr>
          <w:color w:val="0066CC"/>
          <w:sz w:val="20"/>
        </w:rPr>
        <w:t>[Video 14: In_14_01.mp4]</w:t>
      </w:r>
    </w:p>
    <w:p>
      <w:pPr>
        <w:pStyle w:val="ListNumber"/>
      </w:pPr>
      <w:r>
        <w:rPr>
          <w:color w:val="0066CC"/>
          <w:sz w:val="20"/>
        </w:rPr>
        <w:t>[Video 15: In_15_01.mp4]</w:t>
      </w:r>
    </w:p>
    <w:p>
      <w:pPr>
        <w:pStyle w:val="ListNumber"/>
      </w:pPr>
      <w:r>
        <w:rPr>
          <w:color w:val="0066CC"/>
          <w:sz w:val="20"/>
        </w:rPr>
        <w:t>[Video 16: In_16_01.mp4]</w:t>
      </w:r>
    </w:p>
    <w:p>
      <w:pPr>
        <w:pStyle w:val="ListNumber"/>
      </w:pPr>
      <w:r>
        <w:rPr>
          <w:color w:val="0066CC"/>
          <w:sz w:val="20"/>
        </w:rPr>
        <w:t>[Video 17: In_17_01.mp4]</w:t>
      </w:r>
    </w:p>
    <w:p>
      <w:pPr>
        <w:pStyle w:val="ListNumber"/>
      </w:pPr>
      <w:r>
        <w:rPr>
          <w:color w:val="0066CC"/>
          <w:sz w:val="20"/>
        </w:rPr>
        <w:t>[Video 18: In_18_01.mp4]</w:t>
      </w:r>
    </w:p>
    <w:p>
      <w:pPr>
        <w:pStyle w:val="ListNumber"/>
      </w:pPr>
      <w:r>
        <w:rPr>
          <w:color w:val="0066CC"/>
          <w:sz w:val="20"/>
        </w:rPr>
        <w:t>[Video 19: In_19_01.mp4]</w:t>
      </w:r>
    </w:p>
    <w:p/>
    <w:p>
      <w:pPr>
        <w:pStyle w:val="Heading2"/>
      </w:pPr>
      <w:r>
        <w:t>Slide Content</w:t>
      </w:r>
    </w:p>
    <w:p>
      <w:pPr>
        <w:pStyle w:val="Heading3"/>
      </w:pPr>
      <w:r>
        <w:rPr>
          <w:sz w:val="24"/>
        </w:rPr>
        <w:t>Slide 1/44: (Untitled)</w:t>
      </w:r>
    </w:p>
    <w:p>
      <w:r>
        <w:rPr>
          <w:i/>
          <w:color w:val="888888"/>
        </w:rPr>
        <w:t>[Image placeholder]</w:t>
      </w:r>
    </w:p>
    <w:p>
      <w:pPr>
        <w:pStyle w:val="Heading3"/>
      </w:pPr>
      <w:r>
        <w:rPr>
          <w:sz w:val="24"/>
        </w:rPr>
        <w:t>Slide 2/44: (Untitled)</w:t>
      </w:r>
    </w:p>
    <w:p>
      <w:r>
        <w:rPr>
          <w:i/>
          <w:color w:val="888888"/>
        </w:rPr>
        <w:t>[Image placeholder]</w:t>
      </w:r>
    </w:p>
    <w:p>
      <w:pPr>
        <w:pStyle w:val="Heading3"/>
      </w:pPr>
      <w:r>
        <w:rPr>
          <w:sz w:val="24"/>
        </w:rPr>
        <w:t>Slide 3/44: (Untitled)</w:t>
      </w:r>
    </w:p>
    <w:p>
      <w:r>
        <w:rPr>
          <w:i/>
          <w:color w:val="888888"/>
        </w:rPr>
        <w:t>[Image placeholder]</w:t>
      </w:r>
    </w:p>
    <w:p>
      <w:pPr>
        <w:pStyle w:val="Heading3"/>
      </w:pPr>
      <w:r>
        <w:rPr>
          <w:sz w:val="24"/>
        </w:rPr>
        <w:t>Slide 4/44: (Untitled)</w:t>
      </w:r>
    </w:p>
    <w:p>
      <w:r>
        <w:rPr>
          <w:i/>
          <w:color w:val="888888"/>
        </w:rPr>
        <w:t>[Image placeholder]</w:t>
      </w:r>
    </w:p>
    <w:p>
      <w:pPr>
        <w:spacing w:before="80" w:after="80"/>
        <w:shd w:fill="E8E8E8" w:val="clear"/>
      </w:pPr>
      <w:r>
        <w:rPr>
          <w:i/>
          <w:color w:val="444444"/>
          <w:sz w:val="18"/>
        </w:rPr>
        <w:t>Speaker Notes: What is a SOAP web service</w:t>
        <w:br/>
        <w:t>A web service is an interface for one application to communicate to another application. Web services are inherently synchronous. The Web Services Interoperability Organization standard does support asynchronous web services. By convention, web service names typically endin API (Application Programming Interface). Guidewire implementationssupport both synchronousand asynchronous calls toweb services published by external systems; however, a web service is typically synchronous. All web services hosted by Guidewire are synchronous.</w:t>
        <w:br/>
        <w:br/>
        <w:t>For asynchronous calls into Guidewire, you should consider using startable plugins- For more information about startable plugins, refer to documentation.</w:t>
        <w:br/>
        <w:br/>
        <w:t>Web service consumers must know what communication protocol to use for sending messages to the service, along with the specific mechanics involved in using the given protocol including command use, error codes,and headers.</w:t>
        <w:br/>
        <w:br/>
        <w:t xml:space="preserve">Web service protocol stack Service Transport </w:t>
        <w:br/>
        <w:t>This layer is responsible for transporting messages between applications</w:t>
        <w:br/>
        <w:t>For example, Hypertext Transport Protocol (HTTP)</w:t>
        <w:br/>
        <w:t>XML Messaging</w:t>
        <w:br/>
        <w:t>This layer is responsible for encoding messages in a common XML format so that messages can be understood at either end</w:t>
        <w:br/>
        <w:t>For example, Simple Object Access Protocol (SOAP)</w:t>
        <w:br/>
        <w:t>Service Description</w:t>
        <w:br/>
        <w:t>This layer is responsible for describing the public interface to a specific web service</w:t>
        <w:br/>
        <w:t>For example, Web Service Description Language (WSDL).</w:t>
        <w:br/>
        <w:t>Service Discovery</w:t>
        <w:br/>
        <w:t>This layer is responsible for centralizing services into a common registry and providing easy publishffind functionality For example, Universal</w:t>
        <w:br/>
        <w:t>Description, Discovery, and Integration (UDDI)</w:t>
      </w:r>
    </w:p>
    <w:p>
      <w:pPr>
        <w:pStyle w:val="Heading3"/>
      </w:pPr>
      <w:r>
        <w:rPr>
          <w:sz w:val="24"/>
        </w:rPr>
        <w:t>Slide 5/44: (Untitled)</w:t>
      </w:r>
    </w:p>
    <w:p>
      <w:r>
        <w:rPr>
          <w:i/>
          <w:color w:val="888888"/>
        </w:rPr>
        <w:t>[Image placeholder]</w:t>
      </w:r>
    </w:p>
    <w:p>
      <w:pPr>
        <w:spacing w:before="80" w:after="80"/>
        <w:shd w:fill="E8E8E8" w:val="clear"/>
      </w:pPr>
      <w:r>
        <w:rPr>
          <w:i/>
          <w:color w:val="444444"/>
          <w:sz w:val="18"/>
        </w:rPr>
        <w:t>Speaker Notes: SOAP</w:t>
        <w:br/>
        <w:t>Simple Object Access Protocol (SOAP) is a request and response protocol, transported in the majority of cases over HTTP SOAP describes objects and data as XML- SOAP supports remote APIs as both platform-neutral and language-neutral. Extemal systems must use WSDL and SOAP to call a web service using the SOAP protocol. This includes systems written in Java and/or Gosu.</w:t>
        <w:br/>
        <w:br/>
        <w:t>When a web service is imported into Guidewire, the Gosu language handles all aspects of object serialization, object deserialization, basic authentication, and SOAP fault handling. Guidewire supports both SOAP 1.1 and SOAP 17 protocols. Guidewire recommends, however, that you use the SOAP 1.2 protocol as the preferred protocol.</w:t>
      </w:r>
    </w:p>
    <w:p>
      <w:pPr>
        <w:pStyle w:val="Heading3"/>
      </w:pPr>
      <w:r>
        <w:rPr>
          <w:sz w:val="24"/>
        </w:rPr>
        <w:t>Slide 6/44: (Untitled)</w:t>
      </w:r>
    </w:p>
    <w:p>
      <w:r>
        <w:rPr>
          <w:i/>
          <w:color w:val="888888"/>
        </w:rPr>
        <w:t>[Image placeholder]</w:t>
      </w:r>
    </w:p>
    <w:p>
      <w:pPr>
        <w:spacing w:before="80" w:after="80"/>
        <w:shd w:fill="E8E8E8" w:val="clear"/>
      </w:pPr>
      <w:r>
        <w:rPr>
          <w:i/>
          <w:color w:val="444444"/>
          <w:sz w:val="18"/>
        </w:rPr>
        <w:t>Speaker Notes: WSDL</w:t>
        <w:br/>
        <w:t>A WSDL describes a way to group messages into operations and operations into interfaces. It also provides a way to define bindings for each interface and protocol combination as well as the endpoint address for each one. A WSDL provides the XML grammar for describing how a consumer of a web service can interact with a web service- A complete WSDL definition contains all of the information necessary to invoke a Web service.</w:t>
        <w:br/>
        <w:br/>
        <w:t>A WSDL document contains the following elements: Definition : It is the root element of all WSDL documents- It defines the name of the web service, declares multiple namespaces used throughout the remainder of thedocument, and contains all the service elements described here-</w:t>
        <w:br/>
        <w:t>Data types : The data types to be used in the messages are in the form of XML schemas-</w:t>
        <w:br/>
        <w:t>Message : It is an abstract definition of the data, in theform of a message presented either as an entire document or as arguments to be mapped to a method invocation.</w:t>
        <w:br/>
        <w:t>Operation : It is the abstract definition of the operation fora message, such as naming a method, message queue, or business process, that will accept and process the message.</w:t>
        <w:br/>
        <w:t>Port type • It is an abstract set of operations mapped to one or more end-points, defining the collection of operations for a binding; the collection of operations, as it is abstract, can be mapped to multiple transports through various bindings-</w:t>
        <w:br/>
        <w:t>Binding : It is the concrete protocol and data formats for the operations and messages defined for a particular port type-</w:t>
        <w:br/>
        <w:t>Port : It is a combination of a binding and a network address, providing the target address of the service communication.</w:t>
        <w:br/>
        <w:t>Service : It is a collection of related end-points encompassing the service definitions in the file; the services map the binding to the port and include any extensibility definitions</w:t>
      </w:r>
    </w:p>
    <w:p>
      <w:pPr>
        <w:pStyle w:val="Heading3"/>
      </w:pPr>
      <w:r>
        <w:rPr>
          <w:sz w:val="24"/>
        </w:rPr>
        <w:t>Slide 7/44: (Untitled)</w:t>
      </w:r>
    </w:p>
    <w:p>
      <w:r>
        <w:rPr>
          <w:i/>
          <w:color w:val="888888"/>
        </w:rPr>
        <w:t>[Image placeholder]</w:t>
      </w:r>
    </w:p>
    <w:p>
      <w:pPr>
        <w:spacing w:before="80" w:after="80"/>
        <w:shd w:fill="E8E8E8" w:val="clear"/>
      </w:pPr>
      <w:r>
        <w:rPr>
          <w:i/>
          <w:color w:val="444444"/>
          <w:sz w:val="18"/>
        </w:rPr>
        <w:t>Speaker Notes: WSDL binding styles</w:t>
        <w:br/>
        <w:t>There are two communication style models that are used to translate a WSDL binding to a SOAP message body: Document and Remote Procedure Call (RPC). The advantage of using a Document style model is that you can structure the SOAP body any way you want it as long as the content of the SOAP message body is any arbitrary XML instance. The Document style is also referred to as Message- Oriented style-</w:t>
        <w:br/>
        <w:br/>
        <w:t>Furthermore, there are two encoding use models that are used to translate a WSDL binding to a SOAP message-They are: literal, and encoded. When using a literal use model, the body contents should conform to a user-defined XML-schema(XSD) structure. The advantage is two-fold. For one, you can validate the message body with the user-defined XML-schema, moreover, you can also transform the message using a transformation language like XSLT</w:t>
        <w:br/>
        <w:br/>
        <w:t>The combination of the different styde and use models give us four different ways to translate a WSDL binding to a SOAP message:</w:t>
        <w:br/>
        <w:t>Document.literaI</w:t>
        <w:br/>
        <w:t>Document/encoded</w:t>
        <w:br/>
        <w:t>Rpcnjteral</w:t>
        <w:br/>
        <w:t>RPC/encoded</w:t>
        <w:br/>
        <w:br/>
        <w:t>Gosu supports WS-I Document Literal for Gosu web service client code. However, it does so by automatically and transparently converting any WSDL for RPC literal mode into WSDL for document literal mode. The focus of the Gosu documentation for WS-I web services is the support for Document Literal encoding. This lesson uses the phrase WS-I to refer exclusively to Document Literal encoding.</w:t>
        <w:br/>
        <w:br/>
        <w:t>Guidewire has deprecated support for RPC-encoded web services. Guidewire encourages customers to upgrade existing RPC encoded web services to web service collections using document literal encoding. External systems may still use RPC-E to consume Guidewire web services.</w:t>
      </w:r>
    </w:p>
    <w:p>
      <w:pPr>
        <w:pStyle w:val="Heading3"/>
      </w:pPr>
      <w:r>
        <w:rPr>
          <w:sz w:val="24"/>
        </w:rPr>
        <w:t>Slide 8/44: (Untitled)</w:t>
      </w:r>
    </w:p>
    <w:p>
      <w:r>
        <w:rPr>
          <w:i/>
          <w:color w:val="888888"/>
        </w:rPr>
        <w:t>[Image placeholder]</w:t>
      </w:r>
    </w:p>
    <w:p>
      <w:pPr>
        <w:spacing w:before="80" w:after="80"/>
        <w:shd w:fill="E8E8E8" w:val="clear"/>
      </w:pPr>
      <w:r>
        <w:rPr>
          <w:i/>
          <w:color w:val="444444"/>
          <w:sz w:val="18"/>
        </w:rPr>
        <w:t>Speaker Notes: SOAP web services for InsuranceSuite integration</w:t>
        <w:br/>
        <w:t>In the example above, the exchange rate system is the publisher of the CurrencyAPl web service. Guidewire is a consumer of that service and uses CurrencyWSC (Web Service Collection) to get exchange rates. Guidewire is the publisher of the FinancialsAPl (Application Program Interface) web service.  The financial system is a consumer of that service and uses it to make payments.</w:t>
      </w:r>
    </w:p>
    <w:p>
      <w:pPr>
        <w:pStyle w:val="Heading3"/>
      </w:pPr>
      <w:r>
        <w:rPr>
          <w:sz w:val="24"/>
        </w:rPr>
        <w:t>Slide 9/44: (Untitled)</w:t>
      </w:r>
    </w:p>
    <w:p>
      <w:r>
        <w:rPr>
          <w:i/>
          <w:color w:val="888888"/>
        </w:rPr>
        <w:t>[Image placeholder]</w:t>
      </w:r>
    </w:p>
    <w:p>
      <w:pPr>
        <w:pStyle w:val="Heading3"/>
      </w:pPr>
      <w:r>
        <w:rPr>
          <w:sz w:val="24"/>
        </w:rPr>
        <w:t>Slide 10/44: (Untitled)</w:t>
      </w:r>
    </w:p>
    <w:p>
      <w:r>
        <w:rPr>
          <w:i/>
          <w:color w:val="888888"/>
        </w:rPr>
        <w:t>[Image placeholder]</w:t>
      </w:r>
    </w:p>
    <w:p>
      <w:pPr>
        <w:spacing w:before="80" w:after="80"/>
        <w:shd w:fill="E8E8E8" w:val="clear"/>
      </w:pPr>
      <w:r>
        <w:rPr>
          <w:i/>
          <w:color w:val="444444"/>
          <w:sz w:val="18"/>
        </w:rPr>
        <w:t>Speaker Notes: Web service collections</w:t>
        <w:br/>
        <w:t>A given web service collection contains only one copy of each file, even if multiple files reference that file. (For example, if two WSDLs in the web service collection reference the same XSD, there is only one copy of the XSD in the web service collection.)</w:t>
        <w:br/>
        <w:t xml:space="preserve"> </w:t>
        <w:br/>
        <w:t>What Happens During a Web Service Call?</w:t>
        <w:br/>
        <w:t>For all types of web services, Guidewire converts the server's local Gosu objects to and from the flattened text- based format that the SOAP protocol requires- These processes are called serialization and deserialization- For example:</w:t>
        <w:br/>
        <w:t>Suppose you write a web service in Gosu and publish it from ClaimCenter and call it from a remote system. Gosu must deserialize the text-based request into a local object that your Gosu code can access. If one of your web service methods returns a result, Guidewire serializes that local in-memory Gosu result object. Guidewire serializes it into a text- based reply to the remote system.</w:t>
        <w:br/>
        <w:br/>
        <w:t>Suppose you use Gosu to call a web service hosted by an external system. Before calling the API, Gosu automatically serializes any API parameters to convert a local object into a flattened form to send to the API. If the remote API returns a result, Guidewire deserializes the response into local Gosu objects foryour code to examine.</w:t>
      </w:r>
    </w:p>
    <w:p>
      <w:pPr>
        <w:pStyle w:val="Heading3"/>
      </w:pPr>
      <w:r>
        <w:rPr>
          <w:sz w:val="24"/>
        </w:rPr>
        <w:t>Slide 11/44: (Untitled)</w:t>
      </w:r>
    </w:p>
    <w:p>
      <w:r>
        <w:rPr>
          <w:i/>
          <w:color w:val="888888"/>
        </w:rPr>
        <w:t>[Image placeholder]</w:t>
      </w:r>
    </w:p>
    <w:p>
      <w:pPr>
        <w:pStyle w:val="Heading3"/>
      </w:pPr>
      <w:r>
        <w:rPr>
          <w:sz w:val="24"/>
        </w:rPr>
        <w:t>Slide 12/44: (Untitled)</w:t>
      </w:r>
    </w:p>
    <w:p>
      <w:r>
        <w:rPr>
          <w:i/>
          <w:color w:val="888888"/>
        </w:rPr>
        <w:t>[Image placeholder]</w:t>
      </w:r>
    </w:p>
    <w:p>
      <w:pPr>
        <w:spacing w:before="80" w:after="80"/>
        <w:shd w:fill="E8E8E8" w:val="clear"/>
      </w:pPr>
      <w:r>
        <w:rPr>
          <w:i/>
          <w:color w:val="444444"/>
          <w:sz w:val="18"/>
        </w:rPr>
        <w:t>Speaker Notes: Create a package for the web service collection</w:t>
        <w:br/>
        <w:t>Best practice:</w:t>
        <w:br/>
        <w:t>Use lower case for the path</w:t>
        <w:br/>
        <w:br/>
        <w:t>The package roots com.guidewire and gw are reserved. You should not create any child packages in either of these packages.</w:t>
      </w:r>
    </w:p>
    <w:p>
      <w:pPr>
        <w:pStyle w:val="Heading3"/>
      </w:pPr>
      <w:r>
        <w:rPr>
          <w:sz w:val="24"/>
        </w:rPr>
        <w:t>Slide 13/44: (Untitled)</w:t>
      </w:r>
    </w:p>
    <w:p>
      <w:r>
        <w:rPr>
          <w:i/>
          <w:color w:val="888888"/>
        </w:rPr>
        <w:t>[Image placeholder]</w:t>
      </w:r>
    </w:p>
    <w:p>
      <w:pPr>
        <w:spacing w:before="80" w:after="80"/>
        <w:shd w:fill="E8E8E8" w:val="clear"/>
      </w:pPr>
      <w:r>
        <w:rPr>
          <w:i/>
          <w:color w:val="444444"/>
          <w:sz w:val="18"/>
        </w:rPr>
        <w:t>Speaker Notes: Create a new web service collection</w:t>
        <w:br/>
        <w:t>Best practice:</w:t>
        <w:br/>
        <w:t>Use lower case for the web service collection name</w:t>
        <w:br/>
        <w:t>Append wsc to the web service collection name</w:t>
        <w:br/>
        <w:br/>
        <w:t>Since the web service collection name is case sensitive, it is best practice to use all lower case to avoid any issues when trying to use the web service collection in Gosu.</w:t>
      </w:r>
    </w:p>
    <w:p>
      <w:pPr>
        <w:pStyle w:val="Heading3"/>
      </w:pPr>
      <w:r>
        <w:rPr>
          <w:sz w:val="24"/>
        </w:rPr>
        <w:t>Slide 14/44: (Untitled)</w:t>
      </w:r>
    </w:p>
    <w:p>
      <w:r>
        <w:rPr>
          <w:i/>
          <w:color w:val="888888"/>
        </w:rPr>
        <w:t>[Image placeholder]</w:t>
      </w:r>
    </w:p>
    <w:p>
      <w:pPr>
        <w:spacing w:before="80" w:after="80"/>
        <w:shd w:fill="E8E8E8" w:val="clear"/>
      </w:pPr>
      <w:r>
        <w:rPr>
          <w:i/>
          <w:color w:val="444444"/>
          <w:sz w:val="18"/>
        </w:rPr>
        <w:t>Speaker Notes: Fetch the external resource</w:t>
        <w:br/>
        <w:t>In order to replicate these steps in TrainingApp, ExternalApp must be running.</w:t>
        <w:br/>
        <w:br/>
        <w:t>Since the fetched resources are in XML format, regenerate XML classes prior to testing. From the Codegen drop-down menu, select Generate Xml Classes.</w:t>
      </w:r>
    </w:p>
    <w:p>
      <w:pPr>
        <w:pStyle w:val="Heading3"/>
      </w:pPr>
      <w:r>
        <w:rPr>
          <w:sz w:val="24"/>
        </w:rPr>
        <w:t>Slide 15/44: (Untitled)</w:t>
      </w:r>
    </w:p>
    <w:p>
      <w:r>
        <w:rPr>
          <w:i/>
          <w:color w:val="888888"/>
        </w:rPr>
        <w:t>[Image placeholder]</w:t>
      </w:r>
    </w:p>
    <w:p>
      <w:pPr>
        <w:spacing w:before="80" w:after="80"/>
        <w:shd w:fill="E8E8E8" w:val="clear"/>
      </w:pPr>
      <w:r>
        <w:rPr>
          <w:i/>
          <w:color w:val="444444"/>
          <w:sz w:val="18"/>
        </w:rPr>
        <w:t>Speaker Notes: Reference the web service collection in Gosu</w:t>
        <w:br/>
        <w:t>Code example</w:t>
        <w:br/>
        <w:t>Line 3</w:t>
        <w:br/>
        <w:t>Reference to new API instance.</w:t>
        <w:br/>
        <w:t>Lines 5-7</w:t>
        <w:br/>
        <w:t>Specify authentication API properties-</w:t>
        <w:br/>
        <w:t>Specify CallTimeout property to prevent endlessly waiting for a server response.</w:t>
        <w:br/>
        <w:t>Line 9</w:t>
        <w:br/>
        <w:t>Call API method.</w:t>
        <w:br/>
        <w:t>Pass string parameter.</w:t>
        <w:br/>
        <w:t>Output</w:t>
        <w:br/>
        <w:t>XML response from ExternalApp.</w:t>
        <w:br/>
        <w:br/>
        <w:t>CallTimeout</w:t>
        <w:br/>
        <w:t>The purpose of a server timeout is to prevent a device from endlessly waiting for a sever to respond- Server timeouts can occur when using a Web browser to view a site, connecting to an online service or running a program update, among other situations- A task that has timed out or undergone a timeout is considered incomplete or failed. Essentially, the device that made the initial request for data from another device gives up on waiting for that information to be sent when a timeout occurs.</w:t>
        <w:br/>
        <w:br/>
        <w:t>From Gosu, there are threetypes of WS-I web service client connections:</w:t>
        <w:br/>
        <w:t>Standard round trip methods (synchronous request and response)</w:t>
        <w:br/>
        <w:t>One-way methods (synchronous request without response)</w:t>
        <w:br/>
        <w:t>Asynchronous round trip methods (send the request and immediately return to the caller, and check later to see if the request finished).</w:t>
        <w:br/>
        <w:br/>
        <w:t>For more information on one- way and asynchronous methods , refer to the Integration Guide-</w:t>
        <w:br/>
        <w:br/>
        <w:t>If you need to add encryption, authentication, or digital signatures, you can do so by modifying options on the API object's Config namespace. For more information on how to set each option, refer to the Integration Guide.</w:t>
      </w:r>
    </w:p>
    <w:p>
      <w:pPr>
        <w:pStyle w:val="Heading3"/>
      </w:pPr>
      <w:r>
        <w:rPr>
          <w:sz w:val="24"/>
        </w:rPr>
        <w:t>Slide 16/44: (Untitled)</w:t>
      </w:r>
    </w:p>
    <w:p>
      <w:r>
        <w:rPr>
          <w:i/>
          <w:color w:val="888888"/>
        </w:rPr>
        <w:t>[Image placeholder]</w:t>
      </w:r>
    </w:p>
    <w:p>
      <w:pPr>
        <w:spacing w:before="80" w:after="80"/>
        <w:shd w:fill="E8E8E8" w:val="clear"/>
      </w:pPr>
      <w:r>
        <w:rPr>
          <w:i/>
          <w:color w:val="444444"/>
          <w:sz w:val="18"/>
        </w:rPr>
        <w:t>Speaker Notes: Deploy code changes</w:t>
        <w:br/>
        <w:t>You can restart the server from Studio by stopping a running server and after the server stops, then starting the server again in either Run or Debug mode (preferred for training).</w:t>
      </w:r>
    </w:p>
    <w:p>
      <w:pPr>
        <w:pStyle w:val="Heading3"/>
      </w:pPr>
      <w:r>
        <w:rPr>
          <w:sz w:val="24"/>
        </w:rPr>
        <w:t>Slide 17/44: (Untitled)</w:t>
      </w:r>
    </w:p>
    <w:p>
      <w:r>
        <w:rPr>
          <w:i/>
          <w:color w:val="888888"/>
        </w:rPr>
        <w:t>[Image placeholder]</w:t>
      </w:r>
    </w:p>
    <w:p>
      <w:pPr>
        <w:pStyle w:val="Heading3"/>
      </w:pPr>
      <w:r>
        <w:rPr>
          <w:sz w:val="24"/>
        </w:rPr>
        <w:t>Slide 18/44: (Untitled)</w:t>
      </w:r>
    </w:p>
    <w:p>
      <w:pPr>
        <w:pStyle w:val="Heading3"/>
      </w:pPr>
      <w:r>
        <w:rPr>
          <w:sz w:val="24"/>
        </w:rPr>
        <w:t>Slide 19/44: (Untitled)</w:t>
      </w:r>
    </w:p>
    <w:p>
      <w:r>
        <w:rPr>
          <w:i/>
          <w:color w:val="888888"/>
        </w:rPr>
        <w:t>[Image placeholder]</w:t>
      </w:r>
    </w:p>
    <w:p>
      <w:pPr>
        <w:pStyle w:val="Heading3"/>
      </w:pPr>
      <w:r>
        <w:rPr>
          <w:sz w:val="24"/>
        </w:rPr>
        <w:t>Slide 20/44: (Untitled)</w:t>
      </w:r>
    </w:p>
    <w:p>
      <w:r>
        <w:rPr>
          <w:i/>
          <w:color w:val="888888"/>
        </w:rPr>
        <w:t>[Image placeholder]</w:t>
      </w:r>
    </w:p>
    <w:p>
      <w:pPr>
        <w:spacing w:before="80" w:after="80"/>
        <w:shd w:fill="E8E8E8" w:val="clear"/>
      </w:pPr>
      <w:r>
        <w:rPr>
          <w:i/>
          <w:color w:val="444444"/>
          <w:sz w:val="18"/>
        </w:rPr>
        <w:t>Speaker Notes: InsuranceSuite SOAP web services</w:t>
        <w:br/>
        <w:t>Best practice:</w:t>
        <w:br/>
        <w:t>SOAP web services have names that end in API</w:t>
        <w:br/>
        <w:br/>
        <w:t>Every InsuranceSuite application comes with a set of base application SOAP web services. In some situations, the SOAP web service needed by an integration point may already exist. For SOAP web services that manipulate system data,  Guidewire recommends you use the SOAP web services provided in the base application. An example is MaintenanceToolsAPl. The MaintenanceToolsAPl WsiWebService can start a batch process remotely.</w:t>
        <w:br/>
        <w:br/>
        <w:t>For SOAP web services that manipulate business data, Guidewire recommends that you create a custom SOAP web service, even if there is already a similar SOAP web service in the base applicatiom Custom SOAP web services ensure that exactly the correct data is being exchanged. One of the greatest benefits of custom SOAP web services is the ability to control the amount of data transferred, which can yield significant performance improvements. For example, a getContactlnfo method API might return a large Contact instance with multiple fields and complex data, but the given integration point needs only the public ID, the name, and the primary address.</w:t>
      </w:r>
    </w:p>
    <w:p>
      <w:pPr>
        <w:pStyle w:val="Heading3"/>
      </w:pPr>
      <w:r>
        <w:rPr>
          <w:sz w:val="24"/>
        </w:rPr>
        <w:t>Slide 21/44: (Untitled)</w:t>
      </w:r>
    </w:p>
    <w:p>
      <w:r>
        <w:rPr>
          <w:i/>
          <w:color w:val="888888"/>
        </w:rPr>
        <w:t>[Image placeholder]</w:t>
      </w:r>
    </w:p>
    <w:p>
      <w:pPr>
        <w:pStyle w:val="Heading3"/>
      </w:pPr>
      <w:r>
        <w:rPr>
          <w:sz w:val="24"/>
        </w:rPr>
        <w:t>Slide 22/44: (Untitled)</w:t>
      </w:r>
    </w:p>
    <w:p>
      <w:r>
        <w:rPr>
          <w:i/>
          <w:color w:val="888888"/>
        </w:rPr>
        <w:t>[Image placeholder]</w:t>
      </w:r>
    </w:p>
    <w:p>
      <w:pPr>
        <w:spacing w:before="80" w:after="80"/>
        <w:shd w:fill="E8E8E8" w:val="clear"/>
      </w:pPr>
      <w:r>
        <w:rPr>
          <w:i/>
          <w:color w:val="444444"/>
          <w:sz w:val="18"/>
        </w:rPr>
        <w:t>Speaker Notes: Gosu class with SOAP web service annotations</w:t>
        <w:br/>
        <w:t>Best practice:</w:t>
        <w:br/>
        <w:t>Append API to the class name; for example, ContactAPl</w:t>
        <w:br/>
        <w:t>@WsiPermissions annotation</w:t>
        <w:br/>
        <w:t>Specifies the permissions a user needs to invoke a web service.</w:t>
        <w:br/>
        <w:t>If the annotation is omitted, the permissions default to soapadmin.</w:t>
        <w:br/>
        <w:t>Permissions are specified as an array of SystemPermissionType typekey values-</w:t>
        <w:br/>
        <w:t>If no permission is required, then the annotation should be specified but have an empty array: WsiPermissions(O).</w:t>
        <w:br/>
        <w:t>Multiple permissions can be specified within the array as in: @WsiPermissions({Syste mPermissionType.TC AB CREATE, SystemPermissionType- T C ABED!T}).</w:t>
        <w:br/>
        <w:t>The @WsiPermissions annotation can also be used for methods in the class- A method-level annotation always takes precedence over a class- level annotation.</w:t>
        <w:br/>
        <w:br/>
        <w:t xml:space="preserve">@WsiAvaiIability annotation </w:t>
        <w:br/>
        <w:t>Specifies the minimum system run level when a web service becomes available.</w:t>
        <w:br/>
        <w:t>If the annotation is omitted, the availability defaults to</w:t>
        <w:br/>
        <w:t>MAINTENANCE.</w:t>
        <w:br/>
        <w:t>Valid values include:</w:t>
        <w:br/>
        <w:t>MULTIUSER- Normal state just after start up. Product is live and users can login to IJI-</w:t>
        <w:br/>
        <w:t>STARTING- The app server is up, but the product is not available</w:t>
        <w:br/>
        <w:t>DAEMONS – The product is running and background processes can run, but users cannot log in to the IJI.</w:t>
        <w:br/>
        <w:t xml:space="preserve">MAINTENANCE - This is the default value. (Also known as NODAEMONS) </w:t>
        <w:br/>
        <w:t>The app server and product are running,  but no background processes. The term background  processes can be misleading, because there should be only one JVM process involved in running a Guidewire server instance. These background processes are actually run by additional threads within the JVM process</w:t>
      </w:r>
    </w:p>
    <w:p>
      <w:pPr>
        <w:pStyle w:val="Heading3"/>
      </w:pPr>
      <w:r>
        <w:rPr>
          <w:sz w:val="24"/>
        </w:rPr>
        <w:t>Slide 23/44: (Untitled)</w:t>
      </w:r>
    </w:p>
    <w:p>
      <w:r>
        <w:rPr>
          <w:i/>
          <w:color w:val="888888"/>
        </w:rPr>
        <w:t>[Image placeholder]</w:t>
      </w:r>
    </w:p>
    <w:p>
      <w:pPr>
        <w:spacing w:before="80" w:after="80"/>
        <w:shd w:fill="E8E8E8" w:val="clear"/>
      </w:pPr>
      <w:r>
        <w:rPr>
          <w:i/>
          <w:color w:val="444444"/>
          <w:sz w:val="18"/>
        </w:rPr>
        <w:t>Speaker Notes: SOAP web service methods</w:t>
        <w:br/>
        <w:t>For methods that calculate and return simple values, there is no difference between the syntax for a non-SOAP web service Gosu class and a SOAP web service</w:t>
        <w:br/>
        <w:t>Gosu class.</w:t>
        <w:br/>
        <w:br/>
        <w:t>The doesContactExist method example specifies an argument for a publicld- The publicld argument represents a unique value that identifies a specific entity in the Guidewire database. From carrier to carrier, the value will most likely vary, but it is not unusual for it to be a tax ID, FEIN (Federal Employer Identification Number), or some similar type of value.</w:t>
        <w:br/>
        <w:br/>
        <w:t>When writing a "does...Exist()“ method, Guidewire recommends writing a Gosu query that queries for the object using a unique identifier and then reads the result objects Empty property. The Empty property returns true only if the query found no matching rows. This is the least resource-intensive approach to determine whether or not the number of results is 0.</w:t>
        <w:br/>
        <w:br/>
        <w:t>A WS-I SOAP web service cannot return an instance of a Guidewire data model entity.</w:t>
      </w:r>
    </w:p>
    <w:p>
      <w:pPr>
        <w:pStyle w:val="Heading3"/>
      </w:pPr>
      <w:r>
        <w:rPr>
          <w:sz w:val="24"/>
        </w:rPr>
        <w:t>Slide 24/44: (Untitled)</w:t>
      </w:r>
    </w:p>
    <w:p>
      <w:r>
        <w:rPr>
          <w:i/>
          <w:color w:val="888888"/>
        </w:rPr>
        <w:t>[Image placeholder]</w:t>
      </w:r>
    </w:p>
    <w:p>
      <w:pPr>
        <w:spacing w:before="80" w:after="80"/>
        <w:shd w:fill="E8E8E8" w:val="clear"/>
      </w:pPr>
      <w:r>
        <w:rPr>
          <w:i/>
          <w:color w:val="444444"/>
          <w:sz w:val="18"/>
        </w:rPr>
        <w:t>Speaker Notes: Gosu class for SOAP web service return types</w:t>
        <w:br/>
        <w:t>A Gosu class whose instances are used as return types for SOAP web services must include the @WsiExportable annotation and be marked as final.</w:t>
        <w:br/>
        <w:br/>
        <w:t>The @WsiExportable annotation ensure that instances of the class can be serialized into XML- A class that can be subtyped has the potential to introduce complexity into a SOAP web service architecture that is difficult to maintain. To ensure that Guidewire SOAP web services provide maximum flexibility with minimal maintenance, Gosu classes used as SOAP web service return types cannot be subtyped — for this reason, the class must be marked as final.</w:t>
      </w:r>
    </w:p>
    <w:p>
      <w:pPr>
        <w:pStyle w:val="Heading3"/>
      </w:pPr>
      <w:r>
        <w:rPr>
          <w:sz w:val="24"/>
        </w:rPr>
        <w:t>Slide 25/44: (Untitled)</w:t>
      </w:r>
    </w:p>
    <w:p>
      <w:r>
        <w:rPr>
          <w:i/>
          <w:color w:val="888888"/>
        </w:rPr>
        <w:t>[Image placeholder]</w:t>
      </w:r>
    </w:p>
    <w:p>
      <w:pPr>
        <w:spacing w:before="80" w:after="80"/>
        <w:shd w:fill="E8E8E8" w:val="clear"/>
      </w:pPr>
      <w:r>
        <w:rPr>
          <w:i/>
          <w:color w:val="444444"/>
          <w:sz w:val="18"/>
        </w:rPr>
        <w:t>Speaker Notes: Using bundles in a SOAP web service</w:t>
        <w:br/>
        <w:t>Code example</w:t>
        <w:br/>
        <w:t>Line 32</w:t>
        <w:br/>
        <w:t>The query returns a single entity of type ABContact that is read-only.</w:t>
        <w:br/>
        <w:t>To modify a read-only data model object, copy the object to a writeable bundle.</w:t>
        <w:br/>
        <w:t>Line 34</w:t>
        <w:br/>
        <w:t>Writable bundle created.</w:t>
        <w:br/>
        <w:t>Block names the new bundle object as newBundle.</w:t>
        <w:br/>
        <w:t>Line 36</w:t>
        <w:br/>
        <w:t>Copy query read-only object to the writeable bundle.</w:t>
        <w:br/>
        <w:t>Line 40</w:t>
        <w:br/>
        <w:t>Application executes an implicit commit.</w:t>
        <w:br/>
        <w:t>Username provided by the SOAP web service call is used to authenticate the bundle commit.</w:t>
        <w:br/>
        <w:br/>
        <w:t xml:space="preserve">If data must be committed to the database, create a new bundle using the runWithNewBundle method. Bundles created with runWithNewBundle method are writeable. The method takes a block argument. At the closure of the block, the application executes an implicit commit of the bundle data. Do not explicitly commit a bundle — e.g., bundle.commit method — in a runWithNewBundle block. </w:t>
        <w:br/>
        <w:br/>
        <w:t>For more information on bundles, refer to the Bundles and Database Transactions lesson.</w:t>
      </w:r>
    </w:p>
    <w:p>
      <w:pPr>
        <w:pStyle w:val="Heading3"/>
      </w:pPr>
      <w:r>
        <w:rPr>
          <w:sz w:val="24"/>
        </w:rPr>
        <w:t>Slide 26/44: (Untitled)</w:t>
      </w:r>
    </w:p>
    <w:p>
      <w:r>
        <w:rPr>
          <w:i/>
          <w:color w:val="888888"/>
        </w:rPr>
        <w:t>[Image placeholder]</w:t>
      </w:r>
    </w:p>
    <w:p>
      <w:pPr>
        <w:spacing w:before="80" w:after="80"/>
        <w:shd w:fill="E8E8E8" w:val="clear"/>
      </w:pPr>
      <w:r>
        <w:rPr>
          <w:i/>
          <w:color w:val="444444"/>
          <w:sz w:val="18"/>
        </w:rPr>
        <w:t>Speaker Notes: Test the SOAP web service using a local WSDL</w:t>
        <w:br/>
        <w:t>In a production environment, two systems are involved in the use of an Guidewire SOAP web service: the publisher and consumer. In the instance where Guidewire is the publisher,  Guidewire generates the WSDL for a SOAP web service with the consumer request. The external system is the consumer. The consumer stores a copy of the WSDL and uses that copy to make requests.</w:t>
        <w:br/>
        <w:br/>
        <w:t>It is possible to test SOAP web services within a single instance of Guidewire by assuming the roles of both publisher and consumer for the SOAP web service. The only additional step involved is the creation a local WSDL that Gosu code can use for testing purposes.</w:t>
      </w:r>
    </w:p>
    <w:p>
      <w:pPr>
        <w:pStyle w:val="Heading3"/>
      </w:pPr>
      <w:r>
        <w:rPr>
          <w:sz w:val="24"/>
        </w:rPr>
        <w:t>Slide 27/44: (Untitled)</w:t>
      </w:r>
    </w:p>
    <w:p>
      <w:r>
        <w:rPr>
          <w:i/>
          <w:color w:val="888888"/>
        </w:rPr>
        <w:t>[Image placeholder]</w:t>
      </w:r>
    </w:p>
    <w:p>
      <w:pPr>
        <w:pStyle w:val="Heading3"/>
      </w:pPr>
      <w:r>
        <w:rPr>
          <w:sz w:val="24"/>
        </w:rPr>
        <w:t>Slide 28/44: (Untitled)</w:t>
      </w:r>
    </w:p>
    <w:p>
      <w:r>
        <w:rPr>
          <w:i/>
          <w:color w:val="888888"/>
        </w:rPr>
        <w:t>[Image placeholder]</w:t>
      </w:r>
    </w:p>
    <w:p>
      <w:pPr>
        <w:spacing w:before="80" w:after="80"/>
        <w:shd w:fill="E8E8E8" w:val="clear"/>
      </w:pPr>
      <w:r>
        <w:rPr>
          <w:i/>
          <w:color w:val="444444"/>
          <w:sz w:val="18"/>
        </w:rPr>
        <w:t>Speaker Notes: Local test example</w:t>
        <w:br/>
        <w:t>Code example</w:t>
        <w:br/>
        <w:t>Line 3</w:t>
        <w:br/>
        <w:t>Reference to local API instance.</w:t>
        <w:br/>
        <w:t>Lines 5-6</w:t>
        <w:br/>
        <w:t>Specify additional API properties.</w:t>
        <w:br/>
        <w:t>Line 8</w:t>
        <w:br/>
        <w:t>Call API method to set email address.</w:t>
        <w:br/>
        <w:t>Line 10</w:t>
        <w:br/>
        <w:t>Call API method that tests if contact exists.</w:t>
        <w:br/>
        <w:t>Line 11</w:t>
        <w:br/>
        <w:t>Call API method to get contact information.</w:t>
        <w:br/>
        <w:br/>
        <w:t>Use code completion to easily determine the class and service names.</w:t>
        <w:br/>
        <w:br/>
        <w:t>When testing a Guidewire web service locally, it is not necessary to create a web service collection that points to the web service to be tested.</w:t>
      </w:r>
    </w:p>
    <w:p>
      <w:pPr>
        <w:pStyle w:val="Heading3"/>
      </w:pPr>
      <w:r>
        <w:rPr>
          <w:sz w:val="24"/>
        </w:rPr>
        <w:t>Slide 29/44: (Untitled)</w:t>
      </w:r>
    </w:p>
    <w:p>
      <w:r>
        <w:rPr>
          <w:i/>
          <w:color w:val="888888"/>
        </w:rPr>
        <w:t>[Image placeholder]</w:t>
      </w:r>
    </w:p>
    <w:p>
      <w:pPr>
        <w:spacing w:before="80" w:after="80"/>
        <w:shd w:fill="E8E8E8" w:val="clear"/>
      </w:pPr>
      <w:r>
        <w:rPr>
          <w:i/>
          <w:color w:val="444444"/>
          <w:sz w:val="18"/>
        </w:rPr>
        <w:t>Speaker Notes: Test SOAP web service using external system</w:t>
        <w:br/>
        <w:t xml:space="preserve">First, the integration developer working with the external system must access the WSDL for the Guidewire SOAP web service. All WSDLs for Guidewire-published web services can be accessed following the instructions below </w:t>
        <w:br/>
        <w:br/>
        <w:t>To determine the URL for the WSDL:</w:t>
        <w:br/>
        <w:t>1.While the application server is running, connect to http://&lt;machine&gt;: &lt;port&gt;/&lt;appcode&gt;/ws.</w:t>
        <w:br/>
        <w:t>2.Expand the Document/Literal Web Services node until the desired web service name is displayed.</w:t>
        <w:br/>
        <w:t>3.Click the web service name. This loads the XSD for the WSDL.</w:t>
        <w:br/>
        <w:t>4.Copy the URL.</w:t>
      </w:r>
    </w:p>
    <w:p>
      <w:pPr>
        <w:pStyle w:val="Heading3"/>
      </w:pPr>
      <w:r>
        <w:rPr>
          <w:sz w:val="24"/>
        </w:rPr>
        <w:t>Slide 30/44: (Untitled)</w:t>
      </w:r>
    </w:p>
    <w:p>
      <w:r>
        <w:rPr>
          <w:i/>
          <w:color w:val="888888"/>
        </w:rPr>
        <w:t>[Image placeholder]</w:t>
      </w:r>
    </w:p>
    <w:p>
      <w:pPr>
        <w:spacing w:before="80" w:after="80"/>
        <w:shd w:fill="E8E8E8" w:val="clear"/>
      </w:pPr>
      <w:r>
        <w:rPr>
          <w:i/>
          <w:color w:val="444444"/>
          <w:sz w:val="18"/>
        </w:rPr>
        <w:t>Speaker Notes: Deploy code changes</w:t>
        <w:br/>
        <w:t>You can restart the server from Studio by stopping a running server and after the server stops, then starting the server again in either Run or Debug mode  (preferred for training).</w:t>
      </w:r>
    </w:p>
    <w:p>
      <w:pPr>
        <w:pStyle w:val="Heading3"/>
      </w:pPr>
      <w:r>
        <w:rPr>
          <w:sz w:val="24"/>
        </w:rPr>
        <w:t>Slide 31/44: (Untitled)</w:t>
      </w:r>
    </w:p>
    <w:p>
      <w:r>
        <w:rPr>
          <w:i/>
          <w:color w:val="888888"/>
        </w:rPr>
        <w:t>[Image placeholder]</w:t>
      </w:r>
    </w:p>
    <w:p>
      <w:pPr>
        <w:pStyle w:val="Heading3"/>
      </w:pPr>
      <w:r>
        <w:rPr>
          <w:sz w:val="24"/>
        </w:rPr>
        <w:t>Slide 32/44: (Untitled)</w:t>
      </w:r>
    </w:p>
    <w:p>
      <w:pPr>
        <w:pStyle w:val="Heading3"/>
      </w:pPr>
      <w:r>
        <w:rPr>
          <w:sz w:val="24"/>
        </w:rPr>
        <w:t>Slide 33/44: (Untitled)</w:t>
      </w:r>
    </w:p>
    <w:p>
      <w:r>
        <w:rPr>
          <w:i/>
          <w:color w:val="888888"/>
        </w:rPr>
        <w:t>[Image placeholder]</w:t>
      </w:r>
    </w:p>
    <w:p>
      <w:pPr>
        <w:pStyle w:val="Heading3"/>
      </w:pPr>
      <w:r>
        <w:rPr>
          <w:sz w:val="24"/>
        </w:rPr>
        <w:t>Slide 34/44: (Untitled)</w:t>
      </w:r>
    </w:p>
    <w:p>
      <w:r>
        <w:rPr>
          <w:i/>
          <w:color w:val="888888"/>
        </w:rPr>
        <w:t>[Image placeholder]</w:t>
      </w:r>
    </w:p>
    <w:p>
      <w:pPr>
        <w:pStyle w:val="Heading3"/>
      </w:pPr>
      <w:r>
        <w:rPr>
          <w:sz w:val="24"/>
        </w:rPr>
        <w:t>Slide 35/44: (Untitled)</w:t>
      </w:r>
    </w:p>
    <w:p>
      <w:r>
        <w:rPr>
          <w:i/>
          <w:color w:val="888888"/>
        </w:rPr>
        <w:t>[Image placeholder]</w:t>
      </w:r>
    </w:p>
    <w:p>
      <w:pPr>
        <w:pStyle w:val="Heading3"/>
      </w:pPr>
      <w:r>
        <w:rPr>
          <w:sz w:val="24"/>
        </w:rPr>
        <w:t>Slide 36/44: (Untitled)</w:t>
      </w:r>
    </w:p>
    <w:p>
      <w:r>
        <w:rPr>
          <w:i/>
          <w:color w:val="888888"/>
        </w:rPr>
        <w:t>[Image placeholder]</w:t>
      </w:r>
    </w:p>
    <w:p>
      <w:pPr>
        <w:pStyle w:val="Heading3"/>
      </w:pPr>
      <w:r>
        <w:rPr>
          <w:sz w:val="24"/>
        </w:rPr>
        <w:t>Slide 37/44: (Untitled)</w:t>
      </w:r>
    </w:p>
    <w:p>
      <w:r>
        <w:rPr>
          <w:i/>
          <w:color w:val="888888"/>
        </w:rPr>
        <w:t>[Image placeholder]</w:t>
      </w:r>
    </w:p>
    <w:p>
      <w:pPr>
        <w:pStyle w:val="Heading3"/>
      </w:pPr>
      <w:r>
        <w:rPr>
          <w:sz w:val="24"/>
        </w:rPr>
        <w:t>Slide 38/44: (Untitled)</w:t>
      </w:r>
    </w:p>
    <w:p>
      <w:r>
        <w:rPr>
          <w:i/>
          <w:color w:val="888888"/>
        </w:rPr>
        <w:t>[Image placeholder]</w:t>
      </w:r>
    </w:p>
    <w:p>
      <w:pPr>
        <w:pStyle w:val="Heading3"/>
      </w:pPr>
      <w:r>
        <w:rPr>
          <w:sz w:val="24"/>
        </w:rPr>
        <w:t>Slide 39/44: (Untitled)</w:t>
      </w:r>
    </w:p>
    <w:p>
      <w:r>
        <w:rPr>
          <w:i/>
          <w:color w:val="888888"/>
        </w:rPr>
        <w:t>[Image placeholder]</w:t>
      </w:r>
    </w:p>
    <w:p>
      <w:pPr>
        <w:pStyle w:val="Heading3"/>
      </w:pPr>
      <w:r>
        <w:rPr>
          <w:sz w:val="24"/>
        </w:rPr>
        <w:t>Slide 40/44: (Untitled)</w:t>
      </w:r>
    </w:p>
    <w:p>
      <w:r>
        <w:rPr>
          <w:i/>
          <w:color w:val="888888"/>
        </w:rPr>
        <w:t>[Image placeholder]</w:t>
      </w:r>
    </w:p>
    <w:p>
      <w:pPr>
        <w:pStyle w:val="Heading3"/>
      </w:pPr>
      <w:r>
        <w:rPr>
          <w:sz w:val="24"/>
        </w:rPr>
        <w:t>Slide 41/44: (Untitled)</w:t>
      </w:r>
    </w:p>
    <w:p>
      <w:r>
        <w:rPr>
          <w:i/>
          <w:color w:val="888888"/>
        </w:rPr>
        <w:t>[Image placeholder]</w:t>
      </w:r>
    </w:p>
    <w:p>
      <w:pPr>
        <w:pStyle w:val="Heading3"/>
      </w:pPr>
      <w:r>
        <w:rPr>
          <w:sz w:val="24"/>
        </w:rPr>
        <w:t>Slide 42/44: (Untitled)</w:t>
      </w:r>
    </w:p>
    <w:p>
      <w:r>
        <w:rPr>
          <w:i/>
          <w:color w:val="888888"/>
        </w:rPr>
        <w:t>[Image placeholder]</w:t>
      </w:r>
    </w:p>
    <w:p>
      <w:pPr>
        <w:pStyle w:val="Heading3"/>
      </w:pPr>
      <w:r>
        <w:rPr>
          <w:sz w:val="24"/>
        </w:rPr>
        <w:t>Slide 43/44: (Untitled)</w:t>
      </w:r>
    </w:p>
    <w:p>
      <w:r>
        <w:rPr>
          <w:i/>
          <w:color w:val="888888"/>
        </w:rPr>
        <w:t>[Image placeholder]</w:t>
      </w:r>
    </w:p>
    <w:p>
      <w:pPr>
        <w:pStyle w:val="Heading3"/>
      </w:pPr>
      <w:r>
        <w:rPr>
          <w:sz w:val="24"/>
        </w:rPr>
        <w:t>Slide 44/44: (Untitled)</w:t>
      </w:r>
    </w:p>
    <w:p>
      <w:r>
        <w:rPr>
          <w:i/>
          <w:color w:val="888888"/>
        </w:rPr>
        <w:t>[Image placeholder]</w:t>
      </w:r>
    </w:p>
    <w:p>
      <w:pPr>
        <w:pStyle w:val="Heading2"/>
      </w:pPr>
      <w:r>
        <w:t>Assignment</w:t>
      </w:r>
    </w:p>
    <w:p>
      <w:r>
        <w:rPr>
          <w:b/>
          <w:color w:val="008800"/>
        </w:rPr>
        <w:t>[Assignment 09]: SOAP Web Services</w:t>
      </w:r>
    </w:p>
    <w:p>
      <w:r>
        <w:rPr>
          <w:i/>
          <w:sz w:val="18"/>
        </w:rPr>
        <w:t>File: 09 - SOAP Web Services.pdf</w:t>
      </w:r>
    </w:p>
    <w:p/>
    <w:p>
      <w:pPr>
        <w:spacing w:before="240"/>
        <w:jc w:val="center"/>
      </w:pPr>
      <w:r>
        <w:rPr>
          <w:i/>
          <w:color w:val="999999"/>
          <w:sz w:val="16"/>
        </w:rPr>
        <w:t>--- End of Lesson 9: SOAP Web Services | 44 slides | 19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