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11: Introduction to Integration</w:t>
      </w:r>
    </w:p>
    <w:p>
      <w:pPr>
        <w:pStyle w:val="Heading2"/>
      </w:pPr>
      <w:r>
        <w:rPr>
          <w:color w:val="333333"/>
          <w:sz w:val="28"/>
        </w:rPr>
        <w:t>Lesson 10: Plugins</w:t>
      </w:r>
    </w:p>
    <w:p>
      <w:pPr>
        <w:spacing w:after="40"/>
      </w:pPr>
      <w:r>
        <w:rPr>
          <w:i/>
          <w:color w:val="999999"/>
          <w:sz w:val="16"/>
        </w:rPr>
        <w:t>Source: Plugins.pptx</w:t>
      </w:r>
    </w:p>
    <w:p>
      <w:pPr>
        <w:pStyle w:val="Heading3"/>
      </w:pPr>
      <w:r>
        <w:t>Video References</w:t>
      </w:r>
    </w:p>
    <w:p>
      <w:pPr>
        <w:pStyle w:val="ListNumber"/>
      </w:pPr>
      <w:r>
        <w:rPr>
          <w:color w:val="0066CC"/>
          <w:sz w:val="20"/>
        </w:rPr>
        <w:t>[Video 1: In_02_01.mp4]</w:t>
      </w:r>
    </w:p>
    <w:p>
      <w:pPr>
        <w:pStyle w:val="ListNumber"/>
      </w:pPr>
      <w:r>
        <w:rPr>
          <w:color w:val="0066CC"/>
          <w:sz w:val="20"/>
        </w:rPr>
        <w:t>[Video 2: In_03_01.mp4]</w:t>
      </w:r>
    </w:p>
    <w:p>
      <w:pPr>
        <w:pStyle w:val="ListNumber"/>
      </w:pPr>
      <w:r>
        <w:rPr>
          <w:color w:val="0066CC"/>
          <w:sz w:val="20"/>
        </w:rPr>
        <w:t>[Video 3: In_04_01.mp4]</w:t>
      </w:r>
    </w:p>
    <w:p>
      <w:pPr>
        <w:pStyle w:val="ListNumber"/>
      </w:pPr>
      <w:r>
        <w:rPr>
          <w:color w:val="0066CC"/>
          <w:sz w:val="20"/>
        </w:rPr>
        <w:t>[Video 4: In_05_01.mp4]</w:t>
      </w:r>
    </w:p>
    <w:p>
      <w:pPr>
        <w:pStyle w:val="ListNumber"/>
      </w:pPr>
      <w:r>
        <w:rPr>
          <w:color w:val="0066CC"/>
          <w:sz w:val="20"/>
        </w:rPr>
        <w:t>[Video 5: In_06_01.mp4]</w:t>
      </w:r>
    </w:p>
    <w:p>
      <w:pPr>
        <w:pStyle w:val="ListNumber"/>
      </w:pPr>
      <w:r>
        <w:rPr>
          <w:color w:val="0066CC"/>
          <w:sz w:val="20"/>
        </w:rPr>
        <w:t>[Video 6: In_07_01.mp4]</w:t>
      </w:r>
    </w:p>
    <w:p>
      <w:pPr>
        <w:pStyle w:val="ListNumber"/>
      </w:pPr>
      <w:r>
        <w:rPr>
          <w:color w:val="0066CC"/>
          <w:sz w:val="20"/>
        </w:rPr>
        <w:t>[Video 7: In_08_01.mp4]</w:t>
      </w:r>
    </w:p>
    <w:p>
      <w:pPr>
        <w:pStyle w:val="ListNumber"/>
      </w:pPr>
      <w:r>
        <w:rPr>
          <w:color w:val="0066CC"/>
          <w:sz w:val="20"/>
        </w:rPr>
        <w:t>[Video 8: In_09_01.mp4]</w:t>
      </w:r>
    </w:p>
    <w:p>
      <w:pPr>
        <w:pStyle w:val="ListNumber"/>
      </w:pPr>
      <w:r>
        <w:rPr>
          <w:color w:val="0066CC"/>
          <w:sz w:val="20"/>
        </w:rPr>
        <w:t>[Video 9: In_09_02.mp4]</w:t>
      </w:r>
    </w:p>
    <w:p>
      <w:pPr>
        <w:pStyle w:val="ListNumber"/>
      </w:pPr>
      <w:r>
        <w:rPr>
          <w:color w:val="0066CC"/>
          <w:sz w:val="20"/>
        </w:rPr>
        <w:t>[Video 10: In_10_01.mp4]</w:t>
      </w:r>
    </w:p>
    <w:p>
      <w:pPr>
        <w:pStyle w:val="ListNumber"/>
      </w:pPr>
      <w:r>
        <w:rPr>
          <w:color w:val="0066CC"/>
          <w:sz w:val="20"/>
        </w:rPr>
        <w:t>[Video 11: In_11_01.mp4]</w:t>
      </w:r>
    </w:p>
    <w:p>
      <w:pPr>
        <w:pStyle w:val="ListNumber"/>
      </w:pPr>
      <w:r>
        <w:rPr>
          <w:color w:val="0066CC"/>
          <w:sz w:val="20"/>
        </w:rPr>
        <w:t>[Video 12: In_12_01.mp4]</w:t>
      </w:r>
    </w:p>
    <w:p>
      <w:pPr>
        <w:pStyle w:val="ListNumber"/>
      </w:pPr>
      <w:r>
        <w:rPr>
          <w:color w:val="0066CC"/>
          <w:sz w:val="20"/>
        </w:rPr>
        <w:t>[Video 13: In_13_01.mp4]</w:t>
      </w:r>
    </w:p>
    <w:p>
      <w:pPr>
        <w:pStyle w:val="ListNumber"/>
      </w:pPr>
      <w:r>
        <w:rPr>
          <w:color w:val="0066CC"/>
          <w:sz w:val="20"/>
        </w:rPr>
        <w:t>[Video 14: In_14_01.mp4]</w:t>
      </w:r>
    </w:p>
    <w:p>
      <w:pPr>
        <w:pStyle w:val="ListNumber"/>
      </w:pPr>
      <w:r>
        <w:rPr>
          <w:color w:val="0066CC"/>
          <w:sz w:val="20"/>
        </w:rPr>
        <w:t>[Video 15: In_15_01.mp4]</w:t>
      </w:r>
    </w:p>
    <w:p>
      <w:pPr>
        <w:pStyle w:val="ListNumber"/>
      </w:pPr>
      <w:r>
        <w:rPr>
          <w:color w:val="0066CC"/>
          <w:sz w:val="20"/>
        </w:rPr>
        <w:t>[Video 16: In_16_01.mp4]</w:t>
      </w:r>
    </w:p>
    <w:p>
      <w:pPr>
        <w:pStyle w:val="ListNumber"/>
      </w:pPr>
      <w:r>
        <w:rPr>
          <w:color w:val="0066CC"/>
          <w:sz w:val="20"/>
        </w:rPr>
        <w:t>[Video 17: In_17_01.mp4]</w:t>
      </w:r>
    </w:p>
    <w:p>
      <w:pPr>
        <w:pStyle w:val="ListNumber"/>
      </w:pPr>
      <w:r>
        <w:rPr>
          <w:color w:val="0066CC"/>
          <w:sz w:val="20"/>
        </w:rPr>
        <w:t>[Video 18: In_18_01.mp4]</w:t>
      </w:r>
    </w:p>
    <w:p>
      <w:pPr>
        <w:pStyle w:val="ListNumber"/>
      </w:pPr>
      <w:r>
        <w:rPr>
          <w:color w:val="0066CC"/>
          <w:sz w:val="20"/>
        </w:rPr>
        <w:t>[Video 19: In_19_01.mp4]</w:t>
      </w:r>
    </w:p>
    <w:p/>
    <w:p>
      <w:pPr>
        <w:pStyle w:val="Heading2"/>
      </w:pPr>
      <w:r>
        <w:t>Slide Content</w:t>
      </w:r>
    </w:p>
    <w:p>
      <w:pPr>
        <w:pStyle w:val="Heading3"/>
      </w:pPr>
      <w:r>
        <w:rPr>
          <w:sz w:val="24"/>
        </w:rPr>
        <w:t>Slide 1/27: (Untitled)</w:t>
      </w:r>
    </w:p>
    <w:p>
      <w:r>
        <w:rPr>
          <w:i/>
          <w:color w:val="888888"/>
        </w:rPr>
        <w:t>[Image placeholder]</w:t>
      </w:r>
    </w:p>
    <w:p>
      <w:pPr>
        <w:pStyle w:val="Heading3"/>
      </w:pPr>
      <w:r>
        <w:rPr>
          <w:sz w:val="24"/>
        </w:rPr>
        <w:t>Slide 2/27: (Untitled)</w:t>
      </w:r>
    </w:p>
    <w:p>
      <w:r>
        <w:rPr>
          <w:i/>
          <w:color w:val="888888"/>
        </w:rPr>
        <w:t>[Image placeholder]</w:t>
      </w:r>
    </w:p>
    <w:p>
      <w:pPr>
        <w:pStyle w:val="Heading3"/>
      </w:pPr>
      <w:r>
        <w:rPr>
          <w:sz w:val="24"/>
        </w:rPr>
        <w:t>Slide 3/27: (Untitled)</w:t>
      </w:r>
    </w:p>
    <w:p>
      <w:r>
        <w:rPr>
          <w:i/>
          <w:color w:val="888888"/>
        </w:rPr>
        <w:t>[Image placeholder]</w:t>
      </w:r>
    </w:p>
    <w:p>
      <w:pPr>
        <w:pStyle w:val="Heading3"/>
      </w:pPr>
      <w:r>
        <w:rPr>
          <w:sz w:val="24"/>
        </w:rPr>
        <w:t>Slide 4/27: (Untitled)</w:t>
      </w:r>
    </w:p>
    <w:p>
      <w:r>
        <w:rPr>
          <w:i/>
          <w:color w:val="888888"/>
        </w:rPr>
        <w:t>[Image placeholder]</w:t>
      </w:r>
    </w:p>
    <w:p>
      <w:pPr>
        <w:spacing w:before="80" w:after="80"/>
        <w:shd w:fill="E8E8E8" w:val="clear"/>
      </w:pPr>
      <w:r>
        <w:rPr>
          <w:i/>
          <w:color w:val="444444"/>
          <w:sz w:val="18"/>
        </w:rPr>
        <w:t>Speaker Notes: Guidewire plugin</w:t>
        <w:br/>
        <w:t>In Guidewire, a plugin is a Gosu, OSGi Java, or Java class that contains a set of methods called by internal code to execute application functionality. Guidewire plugins run in the same Java Virtual Machine (JVM) process as the Guidewire application itself</w:t>
        <w:br/>
        <w:br/>
        <w:t>A plugin might do the required work by itself or it might interact with other external systems. If a plugin must retrieve data from an external system, the integration point must be synchronous. Guidewire strongly recommends that you carefully consider response time, including network response time, as you write your plugin implementations.</w:t>
        <w:br/>
        <w:br/>
        <w:t>In some cases, calls to a plugin block the user from doing further work until the call is complete. End users should not wait for long responses from the application. Developers must ensure that predefined plugins perform quickly and, when possible, synchronously.</w:t>
      </w:r>
    </w:p>
    <w:p>
      <w:pPr>
        <w:pStyle w:val="Heading3"/>
      </w:pPr>
      <w:r>
        <w:rPr>
          <w:sz w:val="24"/>
        </w:rPr>
        <w:t>Slide 5/27: (Untitled)</w:t>
      </w:r>
    </w:p>
    <w:p>
      <w:r>
        <w:rPr>
          <w:i/>
          <w:color w:val="888888"/>
        </w:rPr>
        <w:t>[Image placeholder]</w:t>
      </w:r>
    </w:p>
    <w:p>
      <w:pPr>
        <w:spacing w:before="80" w:after="80"/>
        <w:shd w:fill="E8E8E8" w:val="clear"/>
      </w:pPr>
      <w:r>
        <w:rPr>
          <w:i/>
          <w:color w:val="444444"/>
          <w:sz w:val="18"/>
        </w:rPr>
        <w:t>Speaker Notes: Types of plugins</w:t>
        <w:br/>
        <w:t>Calls to predefined plugins block the user from doing further work. Calls to messaging plugins and startable plugins occur outside of a user context and do not block any user from doing further work.</w:t>
      </w:r>
    </w:p>
    <w:p>
      <w:pPr>
        <w:pStyle w:val="Heading3"/>
      </w:pPr>
      <w:r>
        <w:rPr>
          <w:sz w:val="24"/>
        </w:rPr>
        <w:t>Slide 6/27: (Untitled)</w:t>
      </w:r>
    </w:p>
    <w:p>
      <w:r>
        <w:rPr>
          <w:i/>
          <w:color w:val="888888"/>
        </w:rPr>
        <w:t>[Image placeholder]</w:t>
      </w:r>
    </w:p>
    <w:p>
      <w:pPr>
        <w:spacing w:before="80" w:after="80"/>
        <w:shd w:fill="E8E8E8" w:val="clear"/>
      </w:pPr>
      <w:r>
        <w:rPr>
          <w:i/>
          <w:color w:val="444444"/>
          <w:sz w:val="18"/>
        </w:rPr>
        <w:t>Speaker Notes: Recommended plugin source code options</w:t>
        <w:br/>
        <w:t>Best practice:</w:t>
        <w:br/>
        <w:t>Guidewire recommends all new plugins be written in Gosu. The main reasons for this recommendation are: speed of development, code conciseness, and debugging.</w:t>
        <w:br/>
        <w:t>By using Gosu, you can take full advantage of Gosu language features. For example, Gosu blocks, Gosu collection enhancement methods, native access to data model types, intelligent code completion after you type the period (-) character, and type inference. These features help you quickly write concise and easy-to-maintain code.</w:t>
        <w:br/>
        <w:br/>
        <w:t>You can also write your plugin implementations in OSGi or Java.</w:t>
        <w:br/>
        <w:t xml:space="preserve">An OSGi plugin is a Java plugin that employs OSGi for modularization. Guidewire recommends OSGi for all new Java plugin development. For OSGi plugin development, Guidewire recommends using the IntelliJ IDEA with OSGi Editor You can learn more about OSGi plugin development in documentation. </w:t>
        <w:br/>
        <w:t>For Java plugin development, there are very specific rules and requirements for class placement in plugins directories. When using   third party IDE for Javaplugins, you will need to copy  all JAR files from the Yava- api\lib\ directory to your Java IDE.</w:t>
      </w:r>
    </w:p>
    <w:p>
      <w:pPr>
        <w:pStyle w:val="Heading3"/>
      </w:pPr>
      <w:r>
        <w:rPr>
          <w:sz w:val="24"/>
        </w:rPr>
        <w:t>Slide 7/27: (Untitled)</w:t>
      </w:r>
    </w:p>
    <w:p>
      <w:r>
        <w:rPr>
          <w:i/>
          <w:color w:val="888888"/>
        </w:rPr>
        <w:t>[Image placeholder]</w:t>
      </w:r>
    </w:p>
    <w:p>
      <w:pPr>
        <w:spacing w:before="80" w:after="80"/>
        <w:shd w:fill="E8E8E8" w:val="clear"/>
      </w:pPr>
      <w:r>
        <w:rPr>
          <w:i/>
          <w:color w:val="444444"/>
          <w:sz w:val="18"/>
        </w:rPr>
        <w:t>Speaker Notes: Use case</w:t>
        <w:br/>
        <w:t>Every predefined plugin meets a specific business need and therefore has unique business- specific issues tied to it.</w:t>
      </w:r>
    </w:p>
    <w:p>
      <w:pPr>
        <w:pStyle w:val="Heading3"/>
      </w:pPr>
      <w:r>
        <w:rPr>
          <w:sz w:val="24"/>
        </w:rPr>
        <w:t>Slide 8/27: (Untitled)</w:t>
      </w:r>
    </w:p>
    <w:p>
      <w:r>
        <w:rPr>
          <w:i/>
          <w:color w:val="888888"/>
        </w:rPr>
        <w:t>[Image placeholder]</w:t>
      </w:r>
    </w:p>
    <w:p>
      <w:pPr>
        <w:pStyle w:val="Heading3"/>
      </w:pPr>
      <w:r>
        <w:rPr>
          <w:sz w:val="24"/>
        </w:rPr>
        <w:t>Slide 9/27: (Untitled)</w:t>
      </w:r>
    </w:p>
    <w:p>
      <w:r>
        <w:rPr>
          <w:i/>
          <w:color w:val="888888"/>
        </w:rPr>
        <w:t>[Image placeholder]</w:t>
      </w:r>
    </w:p>
    <w:p>
      <w:pPr>
        <w:spacing w:before="80" w:after="80"/>
        <w:shd w:fill="E8E8E8" w:val="clear"/>
      </w:pPr>
      <w:r>
        <w:rPr>
          <w:i/>
          <w:color w:val="444444"/>
          <w:sz w:val="18"/>
        </w:rPr>
        <w:t>Speaker Notes: Determine Gosu plugin requirements</w:t>
        <w:br/>
        <w:t xml:space="preserve">The Integration Guide for each product describes all the plugins in the plugin overview chapter. In some cases, there are numerous issues around a given plugin, and therefore an entire chapter in the documentation is devoted to it. </w:t>
        <w:br/>
        <w:br/>
        <w:t>In the TrainingApp application, exchange rates are not retrieved automatically By calling the gw.api.util.CurrencyUtil.invokeMarketExchangeRateSetPlugin method in Gosu code, you can trigger the plugim</w:t>
      </w:r>
    </w:p>
    <w:p>
      <w:pPr>
        <w:pStyle w:val="Heading3"/>
      </w:pPr>
      <w:r>
        <w:rPr>
          <w:sz w:val="24"/>
        </w:rPr>
        <w:t>Slide 10/27: (Untitled)</w:t>
      </w:r>
    </w:p>
    <w:p>
      <w:r>
        <w:rPr>
          <w:i/>
          <w:color w:val="888888"/>
        </w:rPr>
        <w:t>[Image placeholder]</w:t>
      </w:r>
    </w:p>
    <w:p>
      <w:pPr>
        <w:spacing w:before="80" w:after="80"/>
        <w:shd w:fill="E8E8E8" w:val="clear"/>
      </w:pPr>
      <w:r>
        <w:rPr>
          <w:i/>
          <w:color w:val="444444"/>
          <w:sz w:val="18"/>
        </w:rPr>
        <w:t>Speaker Notes: Plugin class</w:t>
        <w:br/>
        <w:t>Best practice:</w:t>
        <w:br/>
        <w:t>For predefined plugins, the recommended naming convention is:</w:t>
        <w:br/>
        <w:t>&lt;meaningful_name&gt; &lt;interface_implemented</w:t>
        <w:br/>
        <w:t xml:space="preserve">     &gt;</w:t>
        <w:br/>
        <w:t>Example:SucceedlExchangeRate SetPlugin</w:t>
        <w:br/>
        <w:t>For messaging plugins, the recommended naming convention is:</w:t>
        <w:br/>
        <w:t>&lt;meaningful_name&gt; &lt;type_of_message_interface_implemented&gt;</w:t>
        <w:br/>
        <w:t>Example: BankAccountVerification Transport</w:t>
        <w:br/>
        <w:t>For startable plugins, the recommended naming convention is:</w:t>
        <w:br/>
        <w:t>&lt;meaningful_name&gt; &lt;interface_implemented</w:t>
        <w:br/>
        <w:t>Example: InboundJMSlntegrationl StartablePlugin</w:t>
      </w:r>
    </w:p>
    <w:p>
      <w:pPr>
        <w:pStyle w:val="Heading3"/>
      </w:pPr>
      <w:r>
        <w:rPr>
          <w:sz w:val="24"/>
        </w:rPr>
        <w:t>Slide 11/27: (Untitled)</w:t>
      </w:r>
    </w:p>
    <w:p>
      <w:r>
        <w:rPr>
          <w:i/>
          <w:color w:val="888888"/>
        </w:rPr>
        <w:t>[Image placeholder]</w:t>
      </w:r>
    </w:p>
    <w:p>
      <w:pPr>
        <w:spacing w:before="80" w:after="80"/>
        <w:shd w:fill="E8E8E8" w:val="clear"/>
      </w:pPr>
      <w:r>
        <w:rPr>
          <w:i/>
          <w:color w:val="444444"/>
          <w:sz w:val="18"/>
        </w:rPr>
        <w:t>Speaker Notes: Implement required interface(s)</w:t>
        <w:br/>
        <w:t>Code example</w:t>
        <w:br/>
        <w:t>Line 5</w:t>
        <w:br/>
        <w:t>Implement the exchange rate plugin.</w:t>
        <w:br/>
        <w:t>Lines 7-9</w:t>
        <w:br/>
        <w:t>Method to implement.</w:t>
        <w:br/>
        <w:br/>
        <w:t>Recall that the first step of plugin implementation is to determine the plugin requirements. This includes the name of the interface to implement, which can be determined from either the Integration Guide or the Java API Reference.</w:t>
        <w:br/>
        <w:br/>
        <w:t xml:space="preserve">A plugin class can implement one or more interfaces. You must manually type in the implements keyword and the name of the appropriate interface. To implement multiple interfaces, list each interface after the implements keyword and separate interfaces with a comma. Click the interface name and press ALT+ENTER which adds stubs for all methods that need to be declared in the plugin.  </w:t>
        <w:br/>
        <w:br/>
        <w:t>For some plugins, you do not need to override the interface methods. If the method does not return a value, set a property, or call an internal method, you can leave it as it is. For any plugin, you can create and call additional  (non-public) methods. For example, an exchange rate plugin might have a private extractRate method which communicates to a SOAP web service to both submit and receive values.</w:t>
      </w:r>
    </w:p>
    <w:p>
      <w:pPr>
        <w:pStyle w:val="Heading3"/>
      </w:pPr>
      <w:r>
        <w:rPr>
          <w:sz w:val="24"/>
        </w:rPr>
        <w:t>Slide 12/27: (Untitled)</w:t>
      </w:r>
    </w:p>
    <w:p>
      <w:r>
        <w:rPr>
          <w:i/>
          <w:color w:val="888888"/>
        </w:rPr>
        <w:t>[Image placeholder]</w:t>
      </w:r>
    </w:p>
    <w:p>
      <w:pPr>
        <w:spacing w:before="80" w:after="80"/>
        <w:shd w:fill="E8E8E8" w:val="clear"/>
      </w:pPr>
      <w:r>
        <w:rPr>
          <w:i/>
          <w:color w:val="444444"/>
          <w:sz w:val="18"/>
        </w:rPr>
        <w:t>Speaker Notes: Create the plugin registry file (if necessary)</w:t>
        <w:br/>
        <w:t>In the Project view, select the registry folder. The path is config.Plugins.registry.</w:t>
        <w:br/>
        <w:br/>
        <w:t>Each plugin registry is a -gwp file that is an XML document. All plugin files are created in &lt;home_directory&gt;\modules\configuration\config\plugin\registry.</w:t>
        <w:br/>
        <w:br/>
        <w:t>Predefined plugins must be named after the plugin interface.The plugin name and the plugin interface name must be identical for all plugins other than startable or messaging plugins.</w:t>
      </w:r>
    </w:p>
    <w:p>
      <w:pPr>
        <w:pStyle w:val="Heading3"/>
      </w:pPr>
      <w:r>
        <w:rPr>
          <w:sz w:val="24"/>
        </w:rPr>
        <w:t>Slide 13/27: (Untitled)</w:t>
      </w:r>
    </w:p>
    <w:p>
      <w:r>
        <w:rPr>
          <w:i/>
          <w:color w:val="888888"/>
        </w:rPr>
        <w:t>[Image placeholder]</w:t>
      </w:r>
    </w:p>
    <w:p>
      <w:pPr>
        <w:spacing w:before="80" w:after="80"/>
        <w:shd w:fill="E8E8E8" w:val="clear"/>
      </w:pPr>
      <w:r>
        <w:rPr>
          <w:i/>
          <w:color w:val="444444"/>
          <w:sz w:val="18"/>
        </w:rPr>
        <w:t>Speaker Notes: Configure the plugin registry file</w:t>
        <w:br/>
        <w:t>In the slide example, the IExchangeRateSetPlugin is a Gosu plugin- To change the plugin type, first remove the existing plugin reference (click -)  and then add a new plugin type  (click +) .</w:t>
        <w:br/>
        <w:br/>
        <w:t>For predefined plugins, a given registry file can point to only one class at a time. There can be multiple entries for startable and messaging plugins.</w:t>
      </w:r>
    </w:p>
    <w:p>
      <w:pPr>
        <w:pStyle w:val="Heading3"/>
      </w:pPr>
      <w:r>
        <w:rPr>
          <w:sz w:val="24"/>
        </w:rPr>
        <w:t>Slide 14/27: (Untitled)</w:t>
      </w:r>
    </w:p>
    <w:p>
      <w:r>
        <w:rPr>
          <w:i/>
          <w:color w:val="888888"/>
        </w:rPr>
        <w:t>[Image placeholder]</w:t>
      </w:r>
    </w:p>
    <w:p>
      <w:pPr>
        <w:pStyle w:val="Heading3"/>
      </w:pPr>
      <w:r>
        <w:rPr>
          <w:sz w:val="24"/>
        </w:rPr>
        <w:t>Slide 15/27: (Untitled)</w:t>
      </w:r>
    </w:p>
    <w:p>
      <w:r>
        <w:rPr>
          <w:i/>
          <w:color w:val="888888"/>
        </w:rPr>
        <w:t>[Image placeholder]</w:t>
      </w:r>
    </w:p>
    <w:p>
      <w:pPr>
        <w:spacing w:before="80" w:after="80"/>
        <w:shd w:fill="E8E8E8" w:val="clear"/>
      </w:pPr>
      <w:r>
        <w:rPr>
          <w:i/>
          <w:color w:val="444444"/>
          <w:sz w:val="18"/>
        </w:rPr>
        <w:t>Speaker Notes: Plugin parameters</w:t>
        <w:br/>
        <w:t>Plugin parameters can be useful in the following situations:</w:t>
        <w:br/>
        <w:t xml:space="preserve">You want a single plugin implementation to have different behavior over time (such as changing the user name or password needed to access a remote system). </w:t>
        <w:br/>
        <w:t xml:space="preserve">You want a single plugin implementation to have different behavior in a development environment compared to a production environment </w:t>
        <w:br/>
        <w:t>You want a single plugin implementation to have different behavior on different servers in a clustered environment-</w:t>
        <w:br/>
        <w:br/>
        <w:t>In the Studio Plugins Registry editor, you can add one or more optional parameters to pass to your plugin during initialization. For example,  you could use the editor to pass server names, port numbers, timeout values, or other settings to your plugin code. The parameters are pairs of String values, also known as namefvalue pairs. You cannot add new or additional configuration parameters to config.xml. If you want to add custom parameters to your configuration of ClaimCenter, consider defining script parameters. You can access the values of script parameters in Gosu code at runtime.</w:t>
        <w:br/>
        <w:br/>
        <w:t>Global Variables</w:t>
        <w:br/>
        <w:t>Script parameters are resources defined in Guidewire Studio 7M that you can use as global variables in Gosu code. A script parameter is an application- wide global parameter that has a value that tends to change over time- Script parameters are typically used to set business values that change from year to year. System administrators change the values of script parameters on the Administration tab. Reference Guidewire documentation for more information on how to configure and use script parameters.</w:t>
        <w:br/>
        <w:br/>
        <w:t>Global Variables</w:t>
        <w:br/>
        <w:t>Script parameters are resources defined in Guidewire Studio 7M that you can use as global variables in Gosu code. A script parameter is an application- wide global parameter that has a value that tends to change over time- Script parameters are typically used to set business values that change from year to year.  System administrators change the values of script parameters on the Administration tab. Reference Guidewire documentation for more information on how to configure and use script parameters.</w:t>
      </w:r>
    </w:p>
    <w:p>
      <w:pPr>
        <w:pStyle w:val="Heading3"/>
      </w:pPr>
      <w:r>
        <w:rPr>
          <w:sz w:val="24"/>
        </w:rPr>
        <w:t>Slide 16/27: (Untitled)</w:t>
      </w:r>
    </w:p>
    <w:p>
      <w:r>
        <w:rPr>
          <w:i/>
          <w:color w:val="888888"/>
        </w:rPr>
        <w:t>[Image placeholder]</w:t>
      </w:r>
    </w:p>
    <w:p>
      <w:pPr>
        <w:spacing w:before="80" w:after="80"/>
        <w:shd w:fill="E8E8E8" w:val="clear"/>
      </w:pPr>
      <w:r>
        <w:rPr>
          <w:i/>
          <w:color w:val="444444"/>
          <w:sz w:val="18"/>
        </w:rPr>
        <w:t>Speaker Notes: Using plugin parameters</w:t>
        <w:br/>
        <w:t>Code example</w:t>
        <w:br/>
        <w:t>Line 6</w:t>
        <w:br/>
        <w:t>Implemented the InitializablePlugin interface-</w:t>
        <w:br/>
        <w:t>Lines 8-11</w:t>
        <w:br/>
        <w:t>Add private static variables for each plugin parameter.</w:t>
        <w:br/>
        <w:t>Lines 44-47</w:t>
        <w:br/>
        <w:t>Implement the set Parameters property-</w:t>
        <w:br/>
        <w:t>Call each plugin parameter and set corresponding static variable.</w:t>
        <w:br/>
        <w:t xml:space="preserve">Best practice: </w:t>
        <w:br/>
        <w:t>Create private static class variables for each plugin parameter used-</w:t>
        <w:br/>
        <w:t xml:space="preserve">private: Gosu variables are private by default, but for clarity, the access modifier is added. </w:t>
        <w:br/>
        <w:t>static: Not related to a particular instance. It is shared among all the instances of the class-</w:t>
        <w:br/>
        <w:t>final: Cannot change this value after initialization and this value mustbe initialized.</w:t>
        <w:br/>
        <w:br/>
        <w:t>To make use of plugin parameters, the plugin must implement the InitializablePlugin interface and implement the set Parameters property. The input for this property is a Map object that contains namefvalue pairs representing the names and values passed in from the plugin registry's Parameters table. The set Parameters property is called only once,  before the first use of the plugin.</w:t>
      </w:r>
    </w:p>
    <w:p>
      <w:pPr>
        <w:pStyle w:val="Heading3"/>
      </w:pPr>
      <w:r>
        <w:rPr>
          <w:sz w:val="24"/>
        </w:rPr>
        <w:t>Slide 17/27: (Untitled)</w:t>
      </w:r>
    </w:p>
    <w:p>
      <w:r>
        <w:rPr>
          <w:i/>
          <w:color w:val="888888"/>
        </w:rPr>
        <w:t>[Image placeholder]</w:t>
      </w:r>
    </w:p>
    <w:p>
      <w:pPr>
        <w:spacing w:before="80" w:after="80"/>
        <w:shd w:fill="E8E8E8" w:val="clear"/>
      </w:pPr>
      <w:r>
        <w:rPr>
          <w:i/>
          <w:color w:val="444444"/>
          <w:sz w:val="18"/>
        </w:rPr>
        <w:t>Speaker Notes: Deploy code changes</w:t>
        <w:br/>
        <w:t>You can restart the server from Studio by stopping a running server and after the server stops,  then starting the server again in either Run or Debug mode  (preferred for training).</w:t>
      </w:r>
    </w:p>
    <w:p>
      <w:pPr>
        <w:pStyle w:val="Heading3"/>
      </w:pPr>
      <w:r>
        <w:rPr>
          <w:sz w:val="24"/>
        </w:rPr>
        <w:t>Slide 18/27: (Untitled)</w:t>
      </w:r>
    </w:p>
    <w:p>
      <w:r>
        <w:rPr>
          <w:i/>
          <w:color w:val="888888"/>
        </w:rPr>
        <w:t>[Image placeholder]</w:t>
      </w:r>
    </w:p>
    <w:p>
      <w:pPr>
        <w:pStyle w:val="Heading3"/>
      </w:pPr>
      <w:r>
        <w:rPr>
          <w:sz w:val="24"/>
        </w:rPr>
        <w:t>Slide 19/27: (Untitled)</w:t>
      </w:r>
    </w:p>
    <w:p>
      <w:pPr>
        <w:pStyle w:val="Heading3"/>
      </w:pPr>
      <w:r>
        <w:rPr>
          <w:sz w:val="24"/>
        </w:rPr>
        <w:t>Slide 20/27: (Untitled)</w:t>
      </w:r>
    </w:p>
    <w:p>
      <w:r>
        <w:rPr>
          <w:i/>
          <w:color w:val="888888"/>
        </w:rPr>
        <w:t>[Image placeholder]</w:t>
      </w:r>
    </w:p>
    <w:p>
      <w:pPr>
        <w:pStyle w:val="Heading3"/>
      </w:pPr>
      <w:r>
        <w:rPr>
          <w:sz w:val="24"/>
        </w:rPr>
        <w:t>Slide 21/27: (Untitled)</w:t>
      </w:r>
    </w:p>
    <w:p>
      <w:r>
        <w:rPr>
          <w:i/>
          <w:color w:val="888888"/>
        </w:rPr>
        <w:t>[Image placeholder]</w:t>
      </w:r>
    </w:p>
    <w:p>
      <w:pPr>
        <w:pStyle w:val="Heading3"/>
      </w:pPr>
      <w:r>
        <w:rPr>
          <w:sz w:val="24"/>
        </w:rPr>
        <w:t>Slide 22/27: (Untitled)</w:t>
      </w:r>
    </w:p>
    <w:p>
      <w:r>
        <w:rPr>
          <w:i/>
          <w:color w:val="888888"/>
        </w:rPr>
        <w:t>[Image placeholder]</w:t>
      </w:r>
    </w:p>
    <w:p>
      <w:pPr>
        <w:pStyle w:val="Heading3"/>
      </w:pPr>
      <w:r>
        <w:rPr>
          <w:sz w:val="24"/>
        </w:rPr>
        <w:t>Slide 23/27: (Untitled)</w:t>
      </w:r>
    </w:p>
    <w:p>
      <w:r>
        <w:rPr>
          <w:i/>
          <w:color w:val="888888"/>
        </w:rPr>
        <w:t>[Image placeholder]</w:t>
      </w:r>
    </w:p>
    <w:p>
      <w:pPr>
        <w:pStyle w:val="Heading3"/>
      </w:pPr>
      <w:r>
        <w:rPr>
          <w:sz w:val="24"/>
        </w:rPr>
        <w:t>Slide 24/27: (Untitled)</w:t>
      </w:r>
    </w:p>
    <w:p>
      <w:r>
        <w:rPr>
          <w:i/>
          <w:color w:val="888888"/>
        </w:rPr>
        <w:t>[Image placeholder]</w:t>
      </w:r>
    </w:p>
    <w:p>
      <w:pPr>
        <w:pStyle w:val="Heading3"/>
      </w:pPr>
      <w:r>
        <w:rPr>
          <w:sz w:val="24"/>
        </w:rPr>
        <w:t>Slide 25/27: (Untitled)</w:t>
      </w:r>
    </w:p>
    <w:p>
      <w:r>
        <w:rPr>
          <w:i/>
          <w:color w:val="888888"/>
        </w:rPr>
        <w:t>[Image placeholder]</w:t>
      </w:r>
    </w:p>
    <w:p>
      <w:pPr>
        <w:pStyle w:val="Heading3"/>
      </w:pPr>
      <w:r>
        <w:rPr>
          <w:sz w:val="24"/>
        </w:rPr>
        <w:t>Slide 26/27: (Untitled)</w:t>
      </w:r>
    </w:p>
    <w:p>
      <w:r>
        <w:rPr>
          <w:i/>
          <w:color w:val="888888"/>
        </w:rPr>
        <w:t>[Image placeholder]</w:t>
      </w:r>
    </w:p>
    <w:p>
      <w:pPr>
        <w:pStyle w:val="Heading3"/>
      </w:pPr>
      <w:r>
        <w:rPr>
          <w:sz w:val="24"/>
        </w:rPr>
        <w:t>Slide 27/27: (Untitled)</w:t>
      </w:r>
    </w:p>
    <w:p>
      <w:r>
        <w:rPr>
          <w:i/>
          <w:color w:val="888888"/>
        </w:rPr>
        <w:t>[Image placeholder]</w:t>
      </w:r>
    </w:p>
    <w:p>
      <w:pPr>
        <w:pStyle w:val="Heading2"/>
      </w:pPr>
      <w:r>
        <w:t>Assignment</w:t>
      </w:r>
    </w:p>
    <w:p>
      <w:r>
        <w:rPr>
          <w:b/>
          <w:color w:val="008800"/>
        </w:rPr>
        <w:t>[Assignment 10]: Plugins</w:t>
      </w:r>
    </w:p>
    <w:p>
      <w:r>
        <w:rPr>
          <w:i/>
          <w:sz w:val="18"/>
        </w:rPr>
        <w:t>File: 10 - Plugins.pdf</w:t>
      </w:r>
    </w:p>
    <w:p/>
    <w:p>
      <w:pPr>
        <w:spacing w:before="240"/>
        <w:jc w:val="center"/>
      </w:pPr>
      <w:r>
        <w:rPr>
          <w:i/>
          <w:color w:val="999999"/>
          <w:sz w:val="16"/>
        </w:rPr>
        <w:t>--- End of Lesson 10: Plugins | 27 slides | 19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