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11: Introduction to Integration</w:t>
      </w:r>
    </w:p>
    <w:p>
      <w:pPr>
        <w:pStyle w:val="Heading2"/>
      </w:pPr>
      <w:r>
        <w:rPr>
          <w:color w:val="333333"/>
          <w:sz w:val="28"/>
        </w:rPr>
        <w:t>Lesson 11: Messaging Architecture</w:t>
      </w:r>
    </w:p>
    <w:p>
      <w:pPr>
        <w:spacing w:after="40"/>
      </w:pPr>
      <w:r>
        <w:rPr>
          <w:i/>
          <w:color w:val="999999"/>
          <w:sz w:val="16"/>
        </w:rPr>
        <w:t>Source: Messaging Architecture.pptx</w:t>
      </w:r>
    </w:p>
    <w:p>
      <w:pPr>
        <w:pStyle w:val="Heading3"/>
      </w:pPr>
      <w:r>
        <w:t>Video References</w:t>
      </w:r>
    </w:p>
    <w:p>
      <w:pPr>
        <w:pStyle w:val="ListNumber"/>
      </w:pPr>
      <w:r>
        <w:rPr>
          <w:color w:val="0066CC"/>
          <w:sz w:val="20"/>
        </w:rPr>
        <w:t>[Video 1: In_02_01.mp4]</w:t>
      </w:r>
    </w:p>
    <w:p>
      <w:pPr>
        <w:pStyle w:val="ListNumber"/>
      </w:pPr>
      <w:r>
        <w:rPr>
          <w:color w:val="0066CC"/>
          <w:sz w:val="20"/>
        </w:rPr>
        <w:t>[Video 2: In_03_01.mp4]</w:t>
      </w:r>
    </w:p>
    <w:p>
      <w:pPr>
        <w:pStyle w:val="ListNumber"/>
      </w:pPr>
      <w:r>
        <w:rPr>
          <w:color w:val="0066CC"/>
          <w:sz w:val="20"/>
        </w:rPr>
        <w:t>[Video 3: In_04_01.mp4]</w:t>
      </w:r>
    </w:p>
    <w:p>
      <w:pPr>
        <w:pStyle w:val="ListNumber"/>
      </w:pPr>
      <w:r>
        <w:rPr>
          <w:color w:val="0066CC"/>
          <w:sz w:val="20"/>
        </w:rPr>
        <w:t>[Video 4: In_05_01.mp4]</w:t>
      </w:r>
    </w:p>
    <w:p>
      <w:pPr>
        <w:pStyle w:val="ListNumber"/>
      </w:pPr>
      <w:r>
        <w:rPr>
          <w:color w:val="0066CC"/>
          <w:sz w:val="20"/>
        </w:rPr>
        <w:t>[Video 5: In_06_01.mp4]</w:t>
      </w:r>
    </w:p>
    <w:p>
      <w:pPr>
        <w:pStyle w:val="ListNumber"/>
      </w:pPr>
      <w:r>
        <w:rPr>
          <w:color w:val="0066CC"/>
          <w:sz w:val="20"/>
        </w:rPr>
        <w:t>[Video 6: In_07_01.mp4]</w:t>
      </w:r>
    </w:p>
    <w:p>
      <w:pPr>
        <w:pStyle w:val="ListNumber"/>
      </w:pPr>
      <w:r>
        <w:rPr>
          <w:color w:val="0066CC"/>
          <w:sz w:val="20"/>
        </w:rPr>
        <w:t>[Video 7: In_08_01.mp4]</w:t>
      </w:r>
    </w:p>
    <w:p>
      <w:pPr>
        <w:pStyle w:val="ListNumber"/>
      </w:pPr>
      <w:r>
        <w:rPr>
          <w:color w:val="0066CC"/>
          <w:sz w:val="20"/>
        </w:rPr>
        <w:t>[Video 8: In_09_01.mp4]</w:t>
      </w:r>
    </w:p>
    <w:p>
      <w:pPr>
        <w:pStyle w:val="ListNumber"/>
      </w:pPr>
      <w:r>
        <w:rPr>
          <w:color w:val="0066CC"/>
          <w:sz w:val="20"/>
        </w:rPr>
        <w:t>[Video 9: In_09_02.mp4]</w:t>
      </w:r>
    </w:p>
    <w:p>
      <w:pPr>
        <w:pStyle w:val="ListNumber"/>
      </w:pPr>
      <w:r>
        <w:rPr>
          <w:color w:val="0066CC"/>
          <w:sz w:val="20"/>
        </w:rPr>
        <w:t>[Video 10: In_10_01.mp4]</w:t>
      </w:r>
    </w:p>
    <w:p>
      <w:pPr>
        <w:pStyle w:val="ListNumber"/>
      </w:pPr>
      <w:r>
        <w:rPr>
          <w:color w:val="0066CC"/>
          <w:sz w:val="20"/>
        </w:rPr>
        <w:t>[Video 11: In_11_01.mp4]</w:t>
      </w:r>
    </w:p>
    <w:p>
      <w:pPr>
        <w:pStyle w:val="ListNumber"/>
      </w:pPr>
      <w:r>
        <w:rPr>
          <w:color w:val="0066CC"/>
          <w:sz w:val="20"/>
        </w:rPr>
        <w:t>[Video 12: In_12_01.mp4]</w:t>
      </w:r>
    </w:p>
    <w:p>
      <w:pPr>
        <w:pStyle w:val="ListNumber"/>
      </w:pPr>
      <w:r>
        <w:rPr>
          <w:color w:val="0066CC"/>
          <w:sz w:val="20"/>
        </w:rPr>
        <w:t>[Video 13: In_13_01.mp4]</w:t>
      </w:r>
    </w:p>
    <w:p>
      <w:pPr>
        <w:pStyle w:val="ListNumber"/>
      </w:pPr>
      <w:r>
        <w:rPr>
          <w:color w:val="0066CC"/>
          <w:sz w:val="20"/>
        </w:rPr>
        <w:t>[Video 14: In_14_01.mp4]</w:t>
      </w:r>
    </w:p>
    <w:p>
      <w:pPr>
        <w:pStyle w:val="ListNumber"/>
      </w:pPr>
      <w:r>
        <w:rPr>
          <w:color w:val="0066CC"/>
          <w:sz w:val="20"/>
        </w:rPr>
        <w:t>[Video 15: In_15_01.mp4]</w:t>
      </w:r>
    </w:p>
    <w:p>
      <w:pPr>
        <w:pStyle w:val="ListNumber"/>
      </w:pPr>
      <w:r>
        <w:rPr>
          <w:color w:val="0066CC"/>
          <w:sz w:val="20"/>
        </w:rPr>
        <w:t>[Video 16: In_16_01.mp4]</w:t>
      </w:r>
    </w:p>
    <w:p>
      <w:pPr>
        <w:pStyle w:val="ListNumber"/>
      </w:pPr>
      <w:r>
        <w:rPr>
          <w:color w:val="0066CC"/>
          <w:sz w:val="20"/>
        </w:rPr>
        <w:t>[Video 17: In_17_01.mp4]</w:t>
      </w:r>
    </w:p>
    <w:p>
      <w:pPr>
        <w:pStyle w:val="ListNumber"/>
      </w:pPr>
      <w:r>
        <w:rPr>
          <w:color w:val="0066CC"/>
          <w:sz w:val="20"/>
        </w:rPr>
        <w:t>[Video 18: In_18_01.mp4]</w:t>
      </w:r>
    </w:p>
    <w:p>
      <w:pPr>
        <w:pStyle w:val="ListNumber"/>
      </w:pPr>
      <w:r>
        <w:rPr>
          <w:color w:val="0066CC"/>
          <w:sz w:val="20"/>
        </w:rPr>
        <w:t>[Video 19: In_19_01.mp4]</w:t>
      </w:r>
    </w:p>
    <w:p/>
    <w:p>
      <w:pPr>
        <w:pStyle w:val="Heading2"/>
      </w:pPr>
      <w:r>
        <w:t>Slide Content</w:t>
      </w:r>
    </w:p>
    <w:p>
      <w:pPr>
        <w:pStyle w:val="Heading3"/>
      </w:pPr>
      <w:r>
        <w:rPr>
          <w:sz w:val="24"/>
        </w:rPr>
        <w:t>Slide 1/28: (Untitled)</w:t>
      </w:r>
    </w:p>
    <w:p>
      <w:r>
        <w:rPr>
          <w:i/>
          <w:color w:val="888888"/>
        </w:rPr>
        <w:t>[Image placeholder]</w:t>
      </w:r>
    </w:p>
    <w:p>
      <w:pPr>
        <w:pStyle w:val="Heading3"/>
      </w:pPr>
      <w:r>
        <w:rPr>
          <w:sz w:val="24"/>
        </w:rPr>
        <w:t>Slide 2/28: (Untitled)</w:t>
      </w:r>
    </w:p>
    <w:p>
      <w:r>
        <w:rPr>
          <w:i/>
          <w:color w:val="888888"/>
        </w:rPr>
        <w:t>[Image placeholder]</w:t>
      </w:r>
    </w:p>
    <w:p>
      <w:pPr>
        <w:pStyle w:val="Heading3"/>
      </w:pPr>
      <w:r>
        <w:rPr>
          <w:sz w:val="24"/>
        </w:rPr>
        <w:t>Slide 3/28: (Untitled)</w:t>
      </w:r>
    </w:p>
    <w:p>
      <w:r>
        <w:rPr>
          <w:i/>
          <w:color w:val="888888"/>
        </w:rPr>
        <w:t>[Image placeholder]</w:t>
      </w:r>
    </w:p>
    <w:p>
      <w:pPr>
        <w:pStyle w:val="Heading3"/>
      </w:pPr>
      <w:r>
        <w:rPr>
          <w:sz w:val="24"/>
        </w:rPr>
        <w:t>Slide 4/28: (Untitled)</w:t>
      </w:r>
    </w:p>
    <w:p>
      <w:r>
        <w:rPr>
          <w:i/>
          <w:color w:val="888888"/>
        </w:rPr>
        <w:t>[Image placeholder]</w:t>
      </w:r>
    </w:p>
    <w:p>
      <w:pPr>
        <w:spacing w:before="80" w:after="80"/>
        <w:shd w:fill="E8E8E8" w:val="clear"/>
      </w:pPr>
      <w:r>
        <w:rPr>
          <w:i/>
          <w:color w:val="444444"/>
          <w:sz w:val="18"/>
        </w:rPr>
        <w:t>Speaker Notes: What is Guidewire messaging</w:t>
        <w:br/>
        <w:t>The overall architecture of Guidewire messaging is asynchronous. It is possible for an outbound message to be sent to an external system synchronously or asynchronously,  depending on the delivery mechanism supported by the external system. However, typically the messages are not processed immediately upon being placed in the message table. Therefore, since the acknowledging message processing aspect is asynchronous, the overall architecture is considered asynchronous.</w:t>
      </w:r>
    </w:p>
    <w:p>
      <w:pPr>
        <w:pStyle w:val="Heading3"/>
      </w:pPr>
      <w:r>
        <w:rPr>
          <w:sz w:val="24"/>
        </w:rPr>
        <w:t>Slide 5/28: (Untitled)</w:t>
      </w:r>
    </w:p>
    <w:p>
      <w:r>
        <w:rPr>
          <w:i/>
          <w:color w:val="888888"/>
        </w:rPr>
        <w:t>[Image placeholder]</w:t>
      </w:r>
    </w:p>
    <w:p>
      <w:pPr>
        <w:spacing w:before="80" w:after="80"/>
        <w:shd w:fill="E8E8E8" w:val="clear"/>
      </w:pPr>
      <w:r>
        <w:rPr>
          <w:i/>
          <w:color w:val="444444"/>
          <w:sz w:val="18"/>
        </w:rPr>
        <w:t>Speaker Notes: The messaging stages</w:t>
        <w:br/>
        <w:t>Message creation is triggered by adding an event to an event- aware entity. This almost always involves a data change, though it isn't a requirement- A positive acknowledgment means that the message was successfully received and processed by the external system.</w:t>
        <w:br/>
        <w:t>A negative acknowledgment means that the message was received, but some type of error occurred and the message was not processed. In some cases,  the integration code may attempt to resend the message. In other cases, the message must be addressed manually.</w:t>
      </w:r>
    </w:p>
    <w:p>
      <w:pPr>
        <w:pStyle w:val="Heading3"/>
      </w:pPr>
      <w:r>
        <w:rPr>
          <w:sz w:val="24"/>
        </w:rPr>
        <w:t>Slide 6/28: (Untitled)</w:t>
      </w:r>
    </w:p>
    <w:p>
      <w:r>
        <w:rPr>
          <w:i/>
          <w:color w:val="888888"/>
        </w:rPr>
        <w:t>[Image placeholder]</w:t>
      </w:r>
    </w:p>
    <w:p>
      <w:pPr>
        <w:spacing w:before="80" w:after="80"/>
        <w:shd w:fill="E8E8E8" w:val="clear"/>
      </w:pPr>
      <w:r>
        <w:rPr>
          <w:i/>
          <w:color w:val="444444"/>
          <w:sz w:val="18"/>
        </w:rPr>
        <w:t>Speaker Notes: Use case — Bank account verification</w:t>
        <w:br/>
        <w:t>When a new bank account is created, the insurance company wants to verify that the bank name, routing number, and account number reference a real bank account.</w:t>
      </w:r>
    </w:p>
    <w:p>
      <w:pPr>
        <w:pStyle w:val="Heading3"/>
      </w:pPr>
      <w:r>
        <w:rPr>
          <w:sz w:val="24"/>
        </w:rPr>
        <w:t>Slide 7/28: (Untitled)</w:t>
      </w:r>
    </w:p>
    <w:p>
      <w:r>
        <w:rPr>
          <w:i/>
          <w:color w:val="888888"/>
        </w:rPr>
        <w:t>[Image placeholder]</w:t>
      </w:r>
    </w:p>
    <w:p>
      <w:pPr>
        <w:spacing w:before="80" w:after="80"/>
        <w:shd w:fill="E8E8E8" w:val="clear"/>
      </w:pPr>
      <w:r>
        <w:rPr>
          <w:i/>
          <w:color w:val="444444"/>
          <w:sz w:val="18"/>
        </w:rPr>
        <w:t>Speaker Notes: Stage 1 — Triggering a message</w:t>
        <w:br/>
        <w:t>BankAccount is an EventAware entity. The entity specifies an &lt;events/&gt; element in its definition which means that the BankAccount entity delegates to the EventAware delegate. A delegate is an entity associated with an implemented interface that multiple parent entities can reuse. The EventAware entity is an internal entity that implements the messaging interface.</w:t>
        <w:br/>
        <w:br/>
        <w:t>For all entities that implement the EventAware delegate, the Guidewire application automatically creates specific events: entityNameChanged, entityNameRemoved, and entityNameAdded. The BankAccount entity implements the BankAccountChanged,</w:t>
        <w:br/>
        <w:t>BankAccountRemoved, and BankAccountAdded messaging events.</w:t>
      </w:r>
    </w:p>
    <w:p>
      <w:pPr>
        <w:pStyle w:val="Heading3"/>
      </w:pPr>
      <w:r>
        <w:rPr>
          <w:sz w:val="24"/>
        </w:rPr>
        <w:t>Slide 8/28: (Untitled)</w:t>
      </w:r>
    </w:p>
    <w:p>
      <w:r>
        <w:rPr>
          <w:i/>
          <w:color w:val="888888"/>
        </w:rPr>
        <w:t>[Image placeholder]</w:t>
      </w:r>
    </w:p>
    <w:p>
      <w:pPr>
        <w:spacing w:before="80" w:after="80"/>
        <w:shd w:fill="E8E8E8" w:val="clear"/>
      </w:pPr>
      <w:r>
        <w:rPr>
          <w:i/>
          <w:color w:val="444444"/>
          <w:sz w:val="18"/>
        </w:rPr>
        <w:t>Speaker Notes: Stage 1 — Triggering a message (Continued)</w:t>
        <w:br/>
        <w:t>The destination could be configured to also subscribe to BankAccountRemoved events since the BankAccount entity implements the</w:t>
        <w:br/>
        <w:t>BankAccountChanged,</w:t>
        <w:br/>
        <w:t>BankAccountRemoved, and</w:t>
        <w:br/>
        <w:t>BankAccountAdded messaging events.</w:t>
      </w:r>
    </w:p>
    <w:p>
      <w:pPr>
        <w:pStyle w:val="Heading3"/>
      </w:pPr>
      <w:r>
        <w:rPr>
          <w:sz w:val="24"/>
        </w:rPr>
        <w:t>Slide 9/28: (Untitled)</w:t>
      </w:r>
    </w:p>
    <w:p>
      <w:r>
        <w:rPr>
          <w:i/>
          <w:color w:val="888888"/>
        </w:rPr>
        <w:t>[Image placeholder]</w:t>
      </w:r>
    </w:p>
    <w:p>
      <w:pPr>
        <w:spacing w:before="80" w:after="80"/>
        <w:shd w:fill="E8E8E8" w:val="clear"/>
      </w:pPr>
      <w:r>
        <w:rPr>
          <w:i/>
          <w:color w:val="444444"/>
          <w:sz w:val="18"/>
        </w:rPr>
        <w:t>Speaker Notes: Stage 1 — Triggering a message (Continued)</w:t>
        <w:br/>
        <w:t>When a user clicks Update, each modified BankAccount row in the ListView triggers an event specific to each bank account entity instance. Newly added bank accounts trigger the BankAccountAdded event.  Modified bank accounts trigger the BankAccountChanged event.  Removed bank accounts trigger the BankAccountRemoved event.</w:t>
        <w:br/>
        <w:br/>
        <w:t>A messaging destination identifies (subscribes to) events of interest, as well as represents an integration channel of an external system, which is used by Guidewire to send messages out and to receive messages back.  Bank Account Verification is a messaging destination that subscribes to the BankAccountAdded and BankAccountChanged events. In other words, the Bank Account Verification messaging destination listens for when user creates a bank account or when a user edits a bank account.</w:t>
      </w:r>
    </w:p>
    <w:p>
      <w:pPr>
        <w:pStyle w:val="Heading3"/>
      </w:pPr>
      <w:r>
        <w:rPr>
          <w:sz w:val="24"/>
        </w:rPr>
        <w:t>Slide 10/28: (Untitled)</w:t>
      </w:r>
    </w:p>
    <w:p>
      <w:r>
        <w:rPr>
          <w:i/>
          <w:color w:val="888888"/>
        </w:rPr>
        <w:t>[Image placeholder]</w:t>
      </w:r>
    </w:p>
    <w:p>
      <w:pPr>
        <w:spacing w:before="80" w:after="80"/>
        <w:shd w:fill="E8E8E8" w:val="clear"/>
      </w:pPr>
      <w:r>
        <w:rPr>
          <w:i/>
          <w:color w:val="444444"/>
          <w:sz w:val="18"/>
        </w:rPr>
        <w:t>Speaker Notes: Stage 2 — Creating a message and payload</w:t>
        <w:br/>
        <w:t>When the application triggers a subscribed-to messaging event (listened for by a destination), the application calls the Event Fired rule set. An event fired rule set defines a specific root entity as the entity that implements the event messaging interface. The root entity differs from theMessage entity. The distinction is</w:t>
        <w:br/>
        <w:t xml:space="preserve"> important to understand. The root entity represents the instance of the entity that fired the event, in this case, an instance of a</w:t>
        <w:br/>
        <w:t>BankAccount. The message represent ts an instance of the Message entity.</w:t>
        <w:br/>
        <w:br/>
        <w:t>All instances of a message entity are stored in the message table. The Message entity has manyfields. The field that stores theevent-related content of the  message is the Payload field. The payload field is what the application sends to the messaging destination subscribing to such a particular event. Payload generation is not reflected in the user interface.</w:t>
      </w:r>
    </w:p>
    <w:p>
      <w:pPr>
        <w:pStyle w:val="Heading3"/>
      </w:pPr>
      <w:r>
        <w:rPr>
          <w:sz w:val="24"/>
        </w:rPr>
        <w:t>Slide 11/28: (Untitled)</w:t>
      </w:r>
    </w:p>
    <w:p>
      <w:r>
        <w:rPr>
          <w:i/>
          <w:color w:val="888888"/>
        </w:rPr>
        <w:t>[Image placeholder]</w:t>
      </w:r>
    </w:p>
    <w:p>
      <w:pPr>
        <w:pStyle w:val="Heading3"/>
      </w:pPr>
      <w:r>
        <w:rPr>
          <w:sz w:val="24"/>
        </w:rPr>
        <w:t>Slide 12/28: (Untitled)</w:t>
      </w:r>
    </w:p>
    <w:p>
      <w:r>
        <w:rPr>
          <w:i/>
          <w:color w:val="888888"/>
        </w:rPr>
        <w:t>[Image placeholder]</w:t>
      </w:r>
    </w:p>
    <w:p>
      <w:pPr>
        <w:spacing w:before="80" w:after="80"/>
        <w:shd w:fill="E8E8E8" w:val="clear"/>
      </w:pPr>
      <w:r>
        <w:rPr>
          <w:i/>
          <w:color w:val="444444"/>
          <w:sz w:val="18"/>
        </w:rPr>
        <w:t>Speaker Notes: Stage 4 — Sending message to an external system</w:t>
        <w:br/>
        <w:t>If you create or change a bank account in TrainingApp and watch the console, you will see a short lag between the click of the Update button and the printing of the payload. This lag occurs because the message table is scanned for new messages only once every few seconds (polling frequency). In other words, the lag occurs because all message integration points are at least partially asynchronous.</w:t>
        <w:br/>
        <w:br/>
        <w:t xml:space="preserve"> A late binding value is a message payload value that cannot be determined until right before the message is sent (send-time-only available data v. event-time data).  Payload transformation is when the original payload is altered prior to sending the payload to the external system. Late binding is a form of payload transformation.</w:t>
      </w:r>
    </w:p>
    <w:p>
      <w:pPr>
        <w:pStyle w:val="Heading3"/>
      </w:pPr>
      <w:r>
        <w:rPr>
          <w:sz w:val="24"/>
        </w:rPr>
        <w:t>Slide 13/28: (Untitled)</w:t>
      </w:r>
    </w:p>
    <w:p>
      <w:r>
        <w:rPr>
          <w:i/>
          <w:color w:val="888888"/>
        </w:rPr>
        <w:t>[Image placeholder]</w:t>
      </w:r>
    </w:p>
    <w:p>
      <w:pPr>
        <w:spacing w:before="80" w:after="80"/>
        <w:shd w:fill="E8E8E8" w:val="clear"/>
      </w:pPr>
      <w:r>
        <w:rPr>
          <w:i/>
          <w:color w:val="444444"/>
          <w:sz w:val="18"/>
        </w:rPr>
        <w:t>Speaker Notes: Stage 5 — Processing acknowledgement</w:t>
        <w:br/>
        <w:t>In TrainingApp, for contacts with newly added or changed bank accounts, you can see the results of message acknowledgement in the user interface when the Verified? value changes from Pending to Verified or Invalid.</w:t>
        <w:br/>
        <w:br/>
        <w:t>A response is a reply from an external system that usually contains some additional data for the Guidewire application to process. Such a reply message may be received and handled by either the transport plugin or the reply plugin, or even a published web service API, depending on the reply message exchange protocol utilized.</w:t>
      </w:r>
    </w:p>
    <w:p>
      <w:pPr>
        <w:pStyle w:val="Heading3"/>
      </w:pPr>
      <w:r>
        <w:rPr>
          <w:sz w:val="24"/>
        </w:rPr>
        <w:t>Slide 14/28: (Untitled)</w:t>
      </w:r>
    </w:p>
    <w:p>
      <w:r>
        <w:rPr>
          <w:i/>
          <w:color w:val="888888"/>
        </w:rPr>
        <w:t>[Image placeholder]</w:t>
      </w:r>
    </w:p>
    <w:p>
      <w:pPr>
        <w:spacing w:before="80" w:after="80"/>
        <w:shd w:fill="E8E8E8" w:val="clear"/>
      </w:pPr>
      <w:r>
        <w:rPr>
          <w:i/>
          <w:color w:val="444444"/>
          <w:sz w:val="18"/>
        </w:rPr>
        <w:t>Speaker Notes: Guidewire servers and messaging transactions</w:t>
        <w:br/>
        <w:t>The servers involved at each point of the process are important because they determine where payload work should occur. The majority of payload generation should be done in Event Fired rules on the ui role server that manages the given user's session.  However, if some portion of payload generation must be done immediately before the message is sent, that portion of the payload can be generated on the messaging role server.</w:t>
        <w:br/>
        <w:br/>
        <w:t>A message is always processed in at least two and as many as four transactions: Transaction 1 — Creates the message and generates the payload. This transaction always occurs. Transaction 2 — Prior to sending the message, an optional transaction may transform the message payload. This is usually done when the message must include information that can only be known immediately before sending the message- Transaction 3 — The sending of the message to the external system occurs in its own transaction- This transaction always occurs. If the external system acknowledges the message synchronously, then the acknowledgement is included in this transaction.</w:t>
        <w:br/>
        <w:br/>
        <w:t xml:space="preserve">Transaction 4 — If the external system acknowledges the message asynchronously, then a separate transaction processes the acknowledgement. This transaction does not occur for messages that are acknowledged synchronously- The transaction structure is important because this determines the work that is rolled back if an error occurs- </w:t>
        <w:br/>
        <w:br/>
        <w:t xml:space="preserve">Message plugins </w:t>
        <w:br/>
        <w:t xml:space="preserve">Request plugin </w:t>
        <w:br/>
        <w:t xml:space="preserve">Handles pay load </w:t>
        <w:br/>
        <w:t xml:space="preserve">transformation of a message </w:t>
        <w:br/>
        <w:t xml:space="preserve">about to be sent </w:t>
        <w:br/>
        <w:t xml:space="preserve">Transport plugin </w:t>
        <w:br/>
        <w:t xml:space="preserve">Sends the message </w:t>
        <w:br/>
        <w:t xml:space="preserve">Process synchronous </w:t>
        <w:br/>
        <w:t xml:space="preserve">acknowledgment replies </w:t>
        <w:br/>
        <w:t>Reply plugin Processes asynchronous .</w:t>
        <w:br/>
        <w:t>acknowledgment replies</w:t>
      </w:r>
    </w:p>
    <w:p>
      <w:pPr>
        <w:pStyle w:val="Heading3"/>
      </w:pPr>
      <w:r>
        <w:rPr>
          <w:sz w:val="24"/>
        </w:rPr>
        <w:t>Slide 15/28: (Untitled)</w:t>
      </w:r>
    </w:p>
    <w:p>
      <w:r>
        <w:rPr>
          <w:i/>
          <w:color w:val="888888"/>
        </w:rPr>
        <w:t>[Image placeholder]</w:t>
      </w:r>
    </w:p>
    <w:p>
      <w:pPr>
        <w:spacing w:before="80" w:after="80"/>
        <w:shd w:fill="E8E8E8" w:val="clear"/>
      </w:pPr>
      <w:r>
        <w:rPr>
          <w:i/>
          <w:color w:val="444444"/>
          <w:sz w:val="18"/>
        </w:rPr>
        <w:t>Speaker Notes: Message plugin interfaces</w:t>
        <w:br/>
        <w:t>gw.pIugin.messaging.Messag ePlugin — the base message plugin interface extended by all specialized message plugin interfaces</w:t>
        <w:br/>
        <w:br/>
        <w:t>shutdown, suspend, resume, setDestinationlD methods These four methods are declared in the common MessagePlugin interface, which all specialized messaging plugin interfaces extend further more- In other words, every messaging plugin class must implement these either directly (or indirectly, e.g. inherited from a common messaging plugin implementation base class).  The first three methods  (shutdown/suspend/resume) provide the essential control over a messaging plugin instance status (and ultimately a messaging destination), and are consumed either implicitly by the GW messaging framework when/as needed  (app shutdown, failed send, unhandled exception, app startup) or explicitly by user actions via the messaging admin IJI (suspend/resume). The setDestinationlD method is called by the GW application framework at the time a messaging plugin class is loaded/instantiatedfor a particular destination.</w:t>
        <w:br/>
        <w:t>This allows the initialized  plugin class instance to preserve and later utilize/reference the actual destination ID for which this messaging plugin instance has been loaded (such as SenderReflD generating in the request plugin, or the reply plugin message finder API, logging in all of them etc.).</w:t>
      </w:r>
    </w:p>
    <w:p>
      <w:pPr>
        <w:pStyle w:val="Heading3"/>
      </w:pPr>
      <w:r>
        <w:rPr>
          <w:sz w:val="24"/>
        </w:rPr>
        <w:t>Slide 16/28: (Untitled)</w:t>
      </w:r>
    </w:p>
    <w:p>
      <w:r>
        <w:rPr>
          <w:i/>
          <w:color w:val="888888"/>
        </w:rPr>
        <w:t>[Image placeholder]</w:t>
      </w:r>
    </w:p>
    <w:p>
      <w:pPr>
        <w:pStyle w:val="Heading3"/>
      </w:pPr>
      <w:r>
        <w:rPr>
          <w:sz w:val="24"/>
        </w:rPr>
        <w:t>Slide 17/28: (Untitled)</w:t>
      </w:r>
    </w:p>
    <w:p>
      <w:r>
        <w:rPr>
          <w:i/>
          <w:color w:val="888888"/>
        </w:rPr>
        <w:t>[Image placeholder]</w:t>
      </w:r>
    </w:p>
    <w:p>
      <w:pPr>
        <w:spacing w:before="80" w:after="80"/>
        <w:shd w:fill="E8E8E8" w:val="clear"/>
      </w:pPr>
      <w:r>
        <w:rPr>
          <w:i/>
          <w:color w:val="444444"/>
          <w:sz w:val="18"/>
        </w:rPr>
        <w:t>Speaker Notes: Training: Messaging</w:t>
        <w:br/>
        <w:t>The screens in the Training: Messaging location group (including the Message Table screen shown above) are unique to the TrainingApp only and have been created for learning purposes only. The genuine Guidewire applications provide aMessage Queues administration screen (under the Monitoring location group).</w:t>
      </w:r>
    </w:p>
    <w:p>
      <w:pPr>
        <w:pStyle w:val="Heading3"/>
      </w:pPr>
      <w:r>
        <w:rPr>
          <w:sz w:val="24"/>
        </w:rPr>
        <w:t>Slide 18/28: (Untitled)</w:t>
      </w:r>
    </w:p>
    <w:p>
      <w:r>
        <w:rPr>
          <w:i/>
          <w:color w:val="888888"/>
        </w:rPr>
        <w:t>[Image placeholder]</w:t>
      </w:r>
    </w:p>
    <w:p>
      <w:pPr>
        <w:spacing w:before="80" w:after="80"/>
        <w:shd w:fill="E8E8E8" w:val="clear"/>
      </w:pPr>
      <w:r>
        <w:rPr>
          <w:i/>
          <w:color w:val="444444"/>
          <w:sz w:val="18"/>
        </w:rPr>
        <w:t>Speaker Notes: Training: Messaging — Demo screens</w:t>
        <w:br/>
        <w:t>The screens in the Training: Messaging location group (including the Message Table screen shown above) are unique to the TrainingApp only and have been created for learning purposes only. The genuine Guidewire applications provide a Message Queues administration screen (under the Monitoring location group).</w:t>
      </w:r>
    </w:p>
    <w:p>
      <w:pPr>
        <w:pStyle w:val="Heading3"/>
      </w:pPr>
      <w:r>
        <w:rPr>
          <w:sz w:val="24"/>
        </w:rPr>
        <w:t>Slide 19/28: (Untitled)</w:t>
      </w:r>
    </w:p>
    <w:p>
      <w:r>
        <w:rPr>
          <w:i/>
          <w:color w:val="888888"/>
        </w:rPr>
        <w:t>[Image placeholder]</w:t>
      </w:r>
    </w:p>
    <w:p>
      <w:pPr>
        <w:spacing w:before="80" w:after="80"/>
        <w:shd w:fill="E8E8E8" w:val="clear"/>
      </w:pPr>
      <w:r>
        <w:rPr>
          <w:i/>
          <w:color w:val="444444"/>
          <w:sz w:val="18"/>
        </w:rPr>
        <w:t>Speaker Notes: Message Queues</w:t>
        <w:br/>
        <w:t xml:space="preserve">The Message Queues screen is available in all InsuranceSuite applications. The screens in the Training: Messaging location group (including the Message Table screen shown above) are unique to the TrainingApp only and have been created for learning purposes only. From Message Queues, you can suspend, resume, and view messages for each destination </w:t>
        <w:br/>
        <w:br/>
        <w:t>The Message Queues screens group all unacknowledged messages by:</w:t>
        <w:br/>
        <w:t>Destination, then..</w:t>
        <w:br/>
        <w:t>Primary entity (safe-ordering, plus one set for all unordered), then.-</w:t>
        <w:br/>
        <w:t>Status: failed, retryable error, in flight, and unsent</w:t>
      </w:r>
    </w:p>
    <w:p>
      <w:pPr>
        <w:pStyle w:val="Heading3"/>
      </w:pPr>
      <w:r>
        <w:rPr>
          <w:sz w:val="24"/>
        </w:rPr>
        <w:t>Slide 20/28: (Untitled)</w:t>
      </w:r>
    </w:p>
    <w:p>
      <w:r>
        <w:rPr>
          <w:i/>
          <w:color w:val="888888"/>
        </w:rPr>
        <w:t>[Image placeholder]</w:t>
      </w:r>
    </w:p>
    <w:p>
      <w:pPr>
        <w:pStyle w:val="Heading3"/>
      </w:pPr>
      <w:r>
        <w:rPr>
          <w:sz w:val="24"/>
        </w:rPr>
        <w:t>Slide 21/28: (Untitled)</w:t>
      </w:r>
    </w:p>
    <w:p>
      <w:pPr>
        <w:pStyle w:val="Heading3"/>
      </w:pPr>
      <w:r>
        <w:rPr>
          <w:sz w:val="24"/>
        </w:rPr>
        <w:t>Slide 22/28: (Untitled)</w:t>
      </w:r>
    </w:p>
    <w:p>
      <w:r>
        <w:rPr>
          <w:i/>
          <w:color w:val="888888"/>
        </w:rPr>
        <w:t>[Image placeholder]</w:t>
      </w:r>
    </w:p>
    <w:p>
      <w:pPr>
        <w:pStyle w:val="Heading3"/>
      </w:pPr>
      <w:r>
        <w:rPr>
          <w:sz w:val="24"/>
        </w:rPr>
        <w:t>Slide 23/28: (Untitled)</w:t>
      </w:r>
    </w:p>
    <w:p>
      <w:r>
        <w:rPr>
          <w:i/>
          <w:color w:val="888888"/>
        </w:rPr>
        <w:t>[Image placeholder]</w:t>
      </w:r>
    </w:p>
    <w:p>
      <w:pPr>
        <w:pStyle w:val="Heading3"/>
      </w:pPr>
      <w:r>
        <w:rPr>
          <w:sz w:val="24"/>
        </w:rPr>
        <w:t>Slide 24/28: (Untitled)</w:t>
      </w:r>
    </w:p>
    <w:p>
      <w:r>
        <w:rPr>
          <w:i/>
          <w:color w:val="888888"/>
        </w:rPr>
        <w:t>[Image placeholder]</w:t>
      </w:r>
    </w:p>
    <w:p>
      <w:pPr>
        <w:pStyle w:val="Heading3"/>
      </w:pPr>
      <w:r>
        <w:rPr>
          <w:sz w:val="24"/>
        </w:rPr>
        <w:t>Slide 25/28: (Untitled)</w:t>
      </w:r>
    </w:p>
    <w:p>
      <w:r>
        <w:rPr>
          <w:i/>
          <w:color w:val="888888"/>
        </w:rPr>
        <w:t>[Image placeholder]</w:t>
      </w:r>
    </w:p>
    <w:p>
      <w:pPr>
        <w:pStyle w:val="Heading3"/>
      </w:pPr>
      <w:r>
        <w:rPr>
          <w:sz w:val="24"/>
        </w:rPr>
        <w:t>Slide 26/28: (Untitled)</w:t>
      </w:r>
    </w:p>
    <w:p>
      <w:r>
        <w:rPr>
          <w:i/>
          <w:color w:val="888888"/>
        </w:rPr>
        <w:t>[Image placeholder]</w:t>
      </w:r>
    </w:p>
    <w:p>
      <w:pPr>
        <w:pStyle w:val="Heading3"/>
      </w:pPr>
      <w:r>
        <w:rPr>
          <w:sz w:val="24"/>
        </w:rPr>
        <w:t>Slide 27/28: (Untitled)</w:t>
      </w:r>
    </w:p>
    <w:p>
      <w:r>
        <w:rPr>
          <w:i/>
          <w:color w:val="888888"/>
        </w:rPr>
        <w:t>[Image placeholder]</w:t>
      </w:r>
    </w:p>
    <w:p>
      <w:pPr>
        <w:pStyle w:val="Heading3"/>
      </w:pPr>
      <w:r>
        <w:rPr>
          <w:sz w:val="24"/>
        </w:rPr>
        <w:t>Slide 28/28: (Untitled)</w:t>
      </w:r>
    </w:p>
    <w:p>
      <w:r>
        <w:rPr>
          <w:i/>
          <w:color w:val="888888"/>
        </w:rPr>
        <w:t>[Image placeholder]</w:t>
      </w:r>
    </w:p>
    <w:p>
      <w:pPr>
        <w:pStyle w:val="Heading2"/>
      </w:pPr>
      <w:r>
        <w:t>Assignment</w:t>
      </w:r>
    </w:p>
    <w:p>
      <w:r>
        <w:rPr>
          <w:b/>
          <w:color w:val="008800"/>
        </w:rPr>
        <w:t>[Assignment 11]: Messaging Architecture</w:t>
      </w:r>
    </w:p>
    <w:p>
      <w:r>
        <w:rPr>
          <w:i/>
          <w:sz w:val="18"/>
        </w:rPr>
        <w:t>File: 11 - Messaging Architecture.pdf</w:t>
      </w:r>
    </w:p>
    <w:p/>
    <w:p>
      <w:pPr>
        <w:spacing w:before="240"/>
        <w:jc w:val="center"/>
      </w:pPr>
      <w:r>
        <w:rPr>
          <w:i/>
          <w:color w:val="999999"/>
          <w:sz w:val="16"/>
        </w:rPr>
        <w:t>--- End of Lesson 11: Messaging Architecture | 28 slides | 19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