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11: Introduction to Integration</w:t>
      </w:r>
    </w:p>
    <w:p>
      <w:pPr>
        <w:pStyle w:val="Heading2"/>
      </w:pPr>
      <w:r>
        <w:rPr>
          <w:color w:val="333333"/>
          <w:sz w:val="28"/>
        </w:rPr>
        <w:t>Lesson 12: Triggering Messages</w:t>
      </w:r>
    </w:p>
    <w:p>
      <w:pPr>
        <w:spacing w:after="40"/>
      </w:pPr>
      <w:r>
        <w:rPr>
          <w:i/>
          <w:color w:val="999999"/>
          <w:sz w:val="16"/>
        </w:rPr>
        <w:t>Source: Triggering Messages.pptx</w:t>
      </w:r>
    </w:p>
    <w:p>
      <w:pPr>
        <w:pStyle w:val="Heading3"/>
      </w:pPr>
      <w:r>
        <w:t>Video References</w:t>
      </w:r>
    </w:p>
    <w:p>
      <w:pPr>
        <w:pStyle w:val="ListNumber"/>
      </w:pPr>
      <w:r>
        <w:rPr>
          <w:color w:val="0066CC"/>
          <w:sz w:val="20"/>
        </w:rPr>
        <w:t>[Video 1: In_02_01.mp4]</w:t>
      </w:r>
    </w:p>
    <w:p>
      <w:pPr>
        <w:pStyle w:val="ListNumber"/>
      </w:pPr>
      <w:r>
        <w:rPr>
          <w:color w:val="0066CC"/>
          <w:sz w:val="20"/>
        </w:rPr>
        <w:t>[Video 2: In_03_01.mp4]</w:t>
      </w:r>
    </w:p>
    <w:p>
      <w:pPr>
        <w:pStyle w:val="ListNumber"/>
      </w:pPr>
      <w:r>
        <w:rPr>
          <w:color w:val="0066CC"/>
          <w:sz w:val="20"/>
        </w:rPr>
        <w:t>[Video 3: In_04_01.mp4]</w:t>
      </w:r>
    </w:p>
    <w:p>
      <w:pPr>
        <w:pStyle w:val="ListNumber"/>
      </w:pPr>
      <w:r>
        <w:rPr>
          <w:color w:val="0066CC"/>
          <w:sz w:val="20"/>
        </w:rPr>
        <w:t>[Video 4: In_05_01.mp4]</w:t>
      </w:r>
    </w:p>
    <w:p>
      <w:pPr>
        <w:pStyle w:val="ListNumber"/>
      </w:pPr>
      <w:r>
        <w:rPr>
          <w:color w:val="0066CC"/>
          <w:sz w:val="20"/>
        </w:rPr>
        <w:t>[Video 5: In_06_01.mp4]</w:t>
      </w:r>
    </w:p>
    <w:p>
      <w:pPr>
        <w:pStyle w:val="ListNumber"/>
      </w:pPr>
      <w:r>
        <w:rPr>
          <w:color w:val="0066CC"/>
          <w:sz w:val="20"/>
        </w:rPr>
        <w:t>[Video 6: In_07_01.mp4]</w:t>
      </w:r>
    </w:p>
    <w:p>
      <w:pPr>
        <w:pStyle w:val="ListNumber"/>
      </w:pPr>
      <w:r>
        <w:rPr>
          <w:color w:val="0066CC"/>
          <w:sz w:val="20"/>
        </w:rPr>
        <w:t>[Video 7: In_08_01.mp4]</w:t>
      </w:r>
    </w:p>
    <w:p>
      <w:pPr>
        <w:pStyle w:val="ListNumber"/>
      </w:pPr>
      <w:r>
        <w:rPr>
          <w:color w:val="0066CC"/>
          <w:sz w:val="20"/>
        </w:rPr>
        <w:t>[Video 8: In_09_01.mp4]</w:t>
      </w:r>
    </w:p>
    <w:p>
      <w:pPr>
        <w:pStyle w:val="ListNumber"/>
      </w:pPr>
      <w:r>
        <w:rPr>
          <w:color w:val="0066CC"/>
          <w:sz w:val="20"/>
        </w:rPr>
        <w:t>[Video 9: In_09_02.mp4]</w:t>
      </w:r>
    </w:p>
    <w:p>
      <w:pPr>
        <w:pStyle w:val="ListNumber"/>
      </w:pPr>
      <w:r>
        <w:rPr>
          <w:color w:val="0066CC"/>
          <w:sz w:val="20"/>
        </w:rPr>
        <w:t>[Video 10: In_10_01.mp4]</w:t>
      </w:r>
    </w:p>
    <w:p>
      <w:pPr>
        <w:pStyle w:val="ListNumber"/>
      </w:pPr>
      <w:r>
        <w:rPr>
          <w:color w:val="0066CC"/>
          <w:sz w:val="20"/>
        </w:rPr>
        <w:t>[Video 11: In_11_01.mp4]</w:t>
      </w:r>
    </w:p>
    <w:p>
      <w:pPr>
        <w:pStyle w:val="ListNumber"/>
      </w:pPr>
      <w:r>
        <w:rPr>
          <w:color w:val="0066CC"/>
          <w:sz w:val="20"/>
        </w:rPr>
        <w:t>[Video 12: In_12_01.mp4]</w:t>
      </w:r>
    </w:p>
    <w:p>
      <w:pPr>
        <w:pStyle w:val="ListNumber"/>
      </w:pPr>
      <w:r>
        <w:rPr>
          <w:color w:val="0066CC"/>
          <w:sz w:val="20"/>
        </w:rPr>
        <w:t>[Video 13: In_13_01.mp4]</w:t>
      </w:r>
    </w:p>
    <w:p>
      <w:pPr>
        <w:pStyle w:val="ListNumber"/>
      </w:pPr>
      <w:r>
        <w:rPr>
          <w:color w:val="0066CC"/>
          <w:sz w:val="20"/>
        </w:rPr>
        <w:t>[Video 14: In_14_01.mp4]</w:t>
      </w:r>
    </w:p>
    <w:p>
      <w:pPr>
        <w:pStyle w:val="ListNumber"/>
      </w:pPr>
      <w:r>
        <w:rPr>
          <w:color w:val="0066CC"/>
          <w:sz w:val="20"/>
        </w:rPr>
        <w:t>[Video 15: In_15_01.mp4]</w:t>
      </w:r>
    </w:p>
    <w:p>
      <w:pPr>
        <w:pStyle w:val="ListNumber"/>
      </w:pPr>
      <w:r>
        <w:rPr>
          <w:color w:val="0066CC"/>
          <w:sz w:val="20"/>
        </w:rPr>
        <w:t>[Video 16: In_16_01.mp4]</w:t>
      </w:r>
    </w:p>
    <w:p>
      <w:pPr>
        <w:pStyle w:val="ListNumber"/>
      </w:pPr>
      <w:r>
        <w:rPr>
          <w:color w:val="0066CC"/>
          <w:sz w:val="20"/>
        </w:rPr>
        <w:t>[Video 17: In_17_01.mp4]</w:t>
      </w:r>
    </w:p>
    <w:p>
      <w:pPr>
        <w:pStyle w:val="ListNumber"/>
      </w:pPr>
      <w:r>
        <w:rPr>
          <w:color w:val="0066CC"/>
          <w:sz w:val="20"/>
        </w:rPr>
        <w:t>[Video 18: In_18_01.mp4]</w:t>
      </w:r>
    </w:p>
    <w:p>
      <w:pPr>
        <w:pStyle w:val="ListNumber"/>
      </w:pPr>
      <w:r>
        <w:rPr>
          <w:color w:val="0066CC"/>
          <w:sz w:val="20"/>
        </w:rPr>
        <w:t>[Video 19: In_19_01.mp4]</w:t>
      </w:r>
    </w:p>
    <w:p/>
    <w:p>
      <w:pPr>
        <w:pStyle w:val="Heading2"/>
      </w:pPr>
      <w:r>
        <w:t>Slide Content</w:t>
      </w:r>
    </w:p>
    <w:p>
      <w:pPr>
        <w:pStyle w:val="Heading3"/>
      </w:pPr>
      <w:r>
        <w:rPr>
          <w:sz w:val="24"/>
        </w:rPr>
        <w:t>Slide 1/28: (Untitled)</w:t>
      </w:r>
    </w:p>
    <w:p>
      <w:r>
        <w:rPr>
          <w:i/>
          <w:color w:val="888888"/>
        </w:rPr>
        <w:t>[Image placeholder]</w:t>
      </w:r>
    </w:p>
    <w:p>
      <w:pPr>
        <w:pStyle w:val="Heading3"/>
      </w:pPr>
      <w:r>
        <w:rPr>
          <w:sz w:val="24"/>
        </w:rPr>
        <w:t>Slide 2/28: (Untitled)</w:t>
      </w:r>
    </w:p>
    <w:p>
      <w:r>
        <w:rPr>
          <w:i/>
          <w:color w:val="888888"/>
        </w:rPr>
        <w:t>[Image placeholder]</w:t>
      </w:r>
    </w:p>
    <w:p>
      <w:pPr>
        <w:pStyle w:val="Heading3"/>
      </w:pPr>
      <w:r>
        <w:rPr>
          <w:sz w:val="24"/>
        </w:rPr>
        <w:t>Slide 3/28: (Untitled)</w:t>
      </w:r>
    </w:p>
    <w:p>
      <w:r>
        <w:rPr>
          <w:i/>
          <w:color w:val="888888"/>
        </w:rPr>
        <w:t>[Image placeholder]</w:t>
      </w:r>
    </w:p>
    <w:p>
      <w:pPr>
        <w:spacing w:before="80" w:after="80"/>
        <w:shd w:fill="E8E8E8" w:val="clear"/>
      </w:pPr>
      <w:r>
        <w:rPr>
          <w:i/>
          <w:color w:val="444444"/>
          <w:sz w:val="18"/>
        </w:rPr>
        <w:t>Speaker Notes: Use case — Bank account verification</w:t>
        <w:br/>
        <w:t>The bank account message is triggered when a checking or savings bank account is added or modified. The message is created by the bank account verification event fired rules.</w:t>
      </w:r>
    </w:p>
    <w:p>
      <w:pPr>
        <w:pStyle w:val="Heading3"/>
      </w:pPr>
      <w:r>
        <w:rPr>
          <w:sz w:val="24"/>
        </w:rPr>
        <w:t>Slide 4/28: (Untitled)</w:t>
      </w:r>
    </w:p>
    <w:p>
      <w:r>
        <w:rPr>
          <w:i/>
          <w:color w:val="888888"/>
        </w:rPr>
        <w:t>[Image placeholder]</w:t>
      </w:r>
    </w:p>
    <w:p>
      <w:pPr>
        <w:spacing w:before="80" w:after="80"/>
        <w:shd w:fill="E8E8E8" w:val="clear"/>
      </w:pPr>
      <w:r>
        <w:rPr>
          <w:i/>
          <w:color w:val="444444"/>
          <w:sz w:val="18"/>
        </w:rPr>
        <w:t>Speaker Notes: Guidewire servers and messaging transactions</w:t>
        <w:br/>
        <w:t>The servers involved at each point of the process are important because they determine where payload work should occur. The majority of payload generation should be done in Event Fired rules on the ui role server that manages the given user's session. However, if some portion of payload generation must be done immediately before the message is sent, that portion of the payload can be generated on the messaging role server.</w:t>
        <w:br/>
        <w:br/>
        <w:t>A message is always processed in at least two and as many as four transactions:</w:t>
        <w:br/>
        <w:t>Transaction 1 — Creates the message and generates the payload. This transaction always occurs-</w:t>
        <w:br/>
        <w:t>Transaction 2 — Prior to sending the message, an optional transaction may transform the message payload. This is usually done when the message must include information that can only be known immediately before sending the message.</w:t>
        <w:br/>
        <w:t>Transaction 3 — The sending of the message to the external system occurs in its own transaction- This transaction always occurs. If the external system acknowledges the message synchronously,  then the  acknowledgement is included in this transaction.</w:t>
        <w:br/>
        <w:t>Transaction 4 — If the external system acknowledges the message asynchronously, then a separate transaction processes the acknowledgement. This transaction does not occur for messages that are acknowledged synchronously-</w:t>
        <w:br/>
        <w:br/>
        <w:t>The transaction structure is important because this determines the work that is rolled back if an error occurs-</w:t>
      </w:r>
    </w:p>
    <w:p>
      <w:pPr>
        <w:pStyle w:val="Heading3"/>
      </w:pPr>
      <w:r>
        <w:rPr>
          <w:sz w:val="24"/>
        </w:rPr>
        <w:t>Slide 5/28: (Untitled)</w:t>
      </w:r>
    </w:p>
    <w:p>
      <w:r>
        <w:rPr>
          <w:i/>
          <w:color w:val="888888"/>
        </w:rPr>
        <w:t>[Image placeholder]</w:t>
      </w:r>
    </w:p>
    <w:p>
      <w:pPr>
        <w:pStyle w:val="Heading3"/>
      </w:pPr>
      <w:r>
        <w:rPr>
          <w:sz w:val="24"/>
        </w:rPr>
        <w:t>Slide 6/28: (Untitled)</w:t>
      </w:r>
    </w:p>
    <w:p>
      <w:r>
        <w:rPr>
          <w:i/>
          <w:color w:val="888888"/>
        </w:rPr>
        <w:t>[Image placeholder]</w:t>
      </w:r>
    </w:p>
    <w:p>
      <w:pPr>
        <w:spacing w:before="80" w:after="80"/>
        <w:shd w:fill="E8E8E8" w:val="clear"/>
      </w:pPr>
      <w:r>
        <w:rPr>
          <w:i/>
          <w:color w:val="444444"/>
          <w:sz w:val="18"/>
        </w:rPr>
        <w:t>Speaker Notes: EventAware entity</w:t>
        <w:br/>
        <w:t>Most entities are persistent entities- Persistent entities describe specific information and store data in the database. An event-aware entity specifies an &lt;events/&gt; element in its XML definition which means that the entity delegates to the EventAware delegate- You cannot modify the set of the events associated with a base entity through extension. However, you can add additional events to a base entity through extension, even if that entity already contains a set of predefined events.</w:t>
        <w:br/>
        <w:br/>
        <w:t>A delegate is an entity associated with an implemented interface that multiple parent entities can reuse- The EventAware entity is an internal, non-persistent entity that implements the messaging interface- For all entities that implement the EventAware delegate, the Guidewire application automatically creates specific events: entityNameChanged, entityNameRemoved, and entityNameAdded. You can identify that an entity is EventAware by reviewing the entity in the Entity Editor in Guidewire Studio. You can also review the Data Dictionary to see the entity implements the EventAware delegate.</w:t>
        <w:br/>
        <w:br/>
        <w:t>A messaging event typically occurs when an instance of an EventAware entity is created, changed, or deleted. Almost every EventAware entity has Added, Changed, and Removed events. The full list of events for each application is listed in the application's Integration Guide.</w:t>
        <w:br/>
        <w:br/>
        <w:t>Data import tools such as ImportToolsAPl and import_tools command line tool are generic mechanisms for loading system data or sample data into the system and do not trigger messaging events for EventAware entities- Bulk data loaded using the table import tools also do not trigger messaging events- When loading business data that requires messaging events, do not use these tools, APIs, and mechanisms.</w:t>
      </w:r>
    </w:p>
    <w:p>
      <w:pPr>
        <w:pStyle w:val="Heading3"/>
      </w:pPr>
      <w:r>
        <w:rPr>
          <w:sz w:val="24"/>
        </w:rPr>
        <w:t>Slide 7/28: (Untitled)</w:t>
      </w:r>
    </w:p>
    <w:p>
      <w:r>
        <w:rPr>
          <w:i/>
          <w:color w:val="888888"/>
        </w:rPr>
        <w:t>[Image placeholder]</w:t>
      </w:r>
    </w:p>
    <w:p>
      <w:pPr>
        <w:spacing w:before="80" w:after="80"/>
        <w:shd w:fill="E8E8E8" w:val="clear"/>
      </w:pPr>
      <w:r>
        <w:rPr>
          <w:i/>
          <w:color w:val="444444"/>
          <w:sz w:val="18"/>
        </w:rPr>
        <w:t>Speaker Notes: Triggering custom message events</w:t>
        <w:br/>
        <w:t>Custom events provide additional flexibility in the messaging architecture. Sometimes, you may want to trigger a message event in a context where EventAware object hasn’t necessarily been created or changed. For example, you may want to provide the user with the ability to trigger messaging by clicking a button on the user interface. In some cases, you want to group messaging logic at a more granular level than EntityChanged.</w:t>
        <w:br/>
        <w:br/>
        <w:t>Message events cannot be triggered for non-EventAware Entities.</w:t>
      </w:r>
    </w:p>
    <w:p>
      <w:pPr>
        <w:pStyle w:val="Heading3"/>
      </w:pPr>
      <w:r>
        <w:rPr>
          <w:sz w:val="24"/>
        </w:rPr>
        <w:t>Slide 8/28: (Untitled)</w:t>
      </w:r>
    </w:p>
    <w:p>
      <w:r>
        <w:rPr>
          <w:i/>
          <w:color w:val="888888"/>
        </w:rPr>
        <w:t>[Image placeholder]</w:t>
      </w:r>
    </w:p>
    <w:p>
      <w:pPr>
        <w:spacing w:before="80" w:after="80"/>
        <w:shd w:fill="E8E8E8" w:val="clear"/>
      </w:pPr>
      <w:r>
        <w:rPr>
          <w:i/>
          <w:color w:val="444444"/>
          <w:sz w:val="18"/>
        </w:rPr>
        <w:t>Speaker Notes: MessageContext entity</w:t>
        <w:br/>
        <w:t>Event Fired rules depend on the message context object. You can access this object using the messageContext variable. The messageContext object contains information such as the event name, messaging destination ID,  and the Root object. Event fired rules often generate one or more messages, although the logic can omit creating messages as appropriate.</w:t>
      </w:r>
    </w:p>
    <w:p>
      <w:pPr>
        <w:pStyle w:val="Heading3"/>
      </w:pPr>
      <w:r>
        <w:rPr>
          <w:sz w:val="24"/>
        </w:rPr>
        <w:t>Slide 9/28: (Untitled)</w:t>
      </w:r>
    </w:p>
    <w:p>
      <w:r>
        <w:rPr>
          <w:i/>
          <w:color w:val="888888"/>
        </w:rPr>
        <w:t>[Image placeholder]</w:t>
      </w:r>
    </w:p>
    <w:p>
      <w:pPr>
        <w:spacing w:before="80" w:after="80"/>
        <w:shd w:fill="E8E8E8" w:val="clear"/>
      </w:pPr>
      <w:r>
        <w:rPr>
          <w:i/>
          <w:color w:val="444444"/>
          <w:sz w:val="18"/>
        </w:rPr>
        <w:t>Speaker Notes: Message entity</w:t>
        <w:br/>
        <w:t>Message is a persistent entity that stores information about the message process in the Message database table. Users do not create message entities. Messages are created in event fired rules.</w:t>
        <w:br/>
        <w:t>Avoid unnecessarily large or complex payloads if possible. A payload is information the information to be sent to an external system in response to an event.</w:t>
        <w:br/>
        <w:t>xx_message database table</w:t>
        <w:br/>
        <w:t>xx represents the application code</w:t>
        <w:br/>
        <w:t>Example: ab_message (ab stands for addressbook)</w:t>
      </w:r>
    </w:p>
    <w:p>
      <w:pPr>
        <w:pStyle w:val="Heading3"/>
      </w:pPr>
      <w:r>
        <w:rPr>
          <w:sz w:val="24"/>
        </w:rPr>
        <w:t>Slide 10/28: (Untitled)</w:t>
      </w:r>
    </w:p>
    <w:p>
      <w:r>
        <w:rPr>
          <w:i/>
          <w:color w:val="888888"/>
        </w:rPr>
        <w:t>[Image placeholder]</w:t>
      </w:r>
    </w:p>
    <w:p>
      <w:pPr>
        <w:spacing w:before="80" w:after="80"/>
        <w:shd w:fill="E8E8E8" w:val="clear"/>
      </w:pPr>
      <w:r>
        <w:rPr>
          <w:i/>
          <w:color w:val="444444"/>
          <w:sz w:val="18"/>
        </w:rPr>
        <w:t>Speaker Notes: MessageHistory entity</w:t>
        <w:br/>
        <w:t>MessageHistory is a persistent entity that stores information about the message process in the MessageHistory database table.</w:t>
        <w:br/>
        <w:br/>
        <w:t>xx messagehistory database table</w:t>
        <w:br/>
        <w:t>xx represents the application code</w:t>
        <w:br/>
        <w:t>Example: ab_message (abstands for addressbook)</w:t>
      </w:r>
    </w:p>
    <w:p>
      <w:pPr>
        <w:pStyle w:val="Heading3"/>
      </w:pPr>
      <w:r>
        <w:rPr>
          <w:sz w:val="24"/>
        </w:rPr>
        <w:t>Slide 11/28: (Untitled)</w:t>
      </w:r>
    </w:p>
    <w:p>
      <w:r>
        <w:rPr>
          <w:i/>
          <w:color w:val="888888"/>
        </w:rPr>
        <w:t>[Image placeholder]</w:t>
      </w:r>
    </w:p>
    <w:p>
      <w:pPr>
        <w:pStyle w:val="Heading3"/>
      </w:pPr>
      <w:r>
        <w:rPr>
          <w:sz w:val="24"/>
        </w:rPr>
        <w:t>Slide 12/28: (Untitled)</w:t>
      </w:r>
    </w:p>
    <w:p>
      <w:r>
        <w:rPr>
          <w:i/>
          <w:color w:val="888888"/>
        </w:rPr>
        <w:t>[Image placeholder]</w:t>
      </w:r>
    </w:p>
    <w:p>
      <w:pPr>
        <w:spacing w:before="80" w:after="80"/>
        <w:shd w:fill="E8E8E8" w:val="clear"/>
      </w:pPr>
      <w:r>
        <w:rPr>
          <w:i/>
          <w:color w:val="444444"/>
          <w:sz w:val="18"/>
        </w:rPr>
        <w:t>Speaker Notes: Destination</w:t>
        <w:br/>
        <w:t>Each Guidewire message is sent to a single destination only'. If there is a situation where multiple external systems need to receive the same information in response to a single event, then the Event Fired rules should create multiple messages, one for each destination of interest. (The term "multicasting" means that the same message is sent simultaneously to multiple receivers. Guidewire message does not make use of multicasting.)</w:t>
        <w:br/>
        <w:br/>
        <w:t>Every message should receive a response. The response indicates to Guidewire that the message has been successfully processed.  In some cases, the response comes immediately upon sending the message and simply indicates the message was successfully consumed. In other cases, the response comes sometime after the message is sent- The response can also contain data from the extemal system (such as a verification code or a report).</w:t>
        <w:br/>
        <w:br/>
        <w:t>The mechanism for the external system response depends on if the message is synchronous or asynchronous. For replies, often the message transport plugin is the reply mechanism. For asynchronous replies, often a Guidewire Application published SOAP web service or a message reply plugin is the reply mechanism.</w:t>
      </w:r>
    </w:p>
    <w:p>
      <w:pPr>
        <w:pStyle w:val="Heading3"/>
      </w:pPr>
      <w:r>
        <w:rPr>
          <w:sz w:val="24"/>
        </w:rPr>
        <w:t>Slide 13/28: (Untitled)</w:t>
      </w:r>
    </w:p>
    <w:p>
      <w:r>
        <w:rPr>
          <w:i/>
          <w:color w:val="888888"/>
        </w:rPr>
        <w:t>[Image placeholder]</w:t>
      </w:r>
    </w:p>
    <w:p>
      <w:pPr>
        <w:spacing w:before="80" w:after="80"/>
        <w:shd w:fill="E8E8E8" w:val="clear"/>
      </w:pPr>
      <w:r>
        <w:rPr>
          <w:i/>
          <w:color w:val="444444"/>
          <w:sz w:val="18"/>
        </w:rPr>
        <w:t>Speaker Notes: Destination message events</w:t>
        <w:br/>
        <w:t>In the example above: BankAccount 2637 is an instance of BankAccount, an event-aware entity</w:t>
        <w:br/>
        <w:t>There are also three destinations</w:t>
        <w:br/>
        <w:t>Destination 13 listens for BankAccountAdded and BankAccountChanged events</w:t>
        <w:br/>
        <w:t>Destination 14 listens for the BankAccountChanged event</w:t>
        <w:br/>
        <w:t>Destination 15 listens for ActivityAdded and ActivityChanged events.</w:t>
        <w:br/>
        <w:t>When BankAccount 2637 changes, a MessageContext object is created for destinations 13 and 14. Since destination 15does not listen for BankAccountChanged events, no MessageContext object is created for destination 15.</w:t>
      </w:r>
    </w:p>
    <w:p>
      <w:pPr>
        <w:pStyle w:val="Heading3"/>
      </w:pPr>
      <w:r>
        <w:rPr>
          <w:sz w:val="24"/>
        </w:rPr>
        <w:t>Slide 14/28: (Untitled)</w:t>
      </w:r>
    </w:p>
    <w:p>
      <w:r>
        <w:rPr>
          <w:i/>
          <w:color w:val="888888"/>
        </w:rPr>
        <w:t>[Image placeholder]</w:t>
      </w:r>
    </w:p>
    <w:p>
      <w:pPr>
        <w:spacing w:before="80" w:after="80"/>
        <w:shd w:fill="E8E8E8" w:val="clear"/>
      </w:pPr>
      <w:r>
        <w:rPr>
          <w:i/>
          <w:color w:val="444444"/>
          <w:sz w:val="18"/>
        </w:rPr>
        <w:t>Speaker Notes: Defining a message destinatior</w:t>
        <w:br/>
        <w:t>ID — The destination ID must be an integer from 0 to 63, inclusive. Values greater than 63 are reserved by Guidewire.</w:t>
        <w:br/>
        <w:br/>
        <w:t>Name — The destination name that is used in the application user interface- This can be a display key expression.</w:t>
        <w:br/>
        <w:br/>
        <w:t>Transport Plugin — Is responsible for sending your message to the external system- The nature of this plugin will vary depending on the external system and/or the technology used to communicate to the external system (such as a JMS queue, a web service request to an external system, or an FTP call). Every destination must provide a message transport plugin implementation, but multiple destinations can use the same implementation.</w:t>
        <w:br/>
        <w:br/>
        <w:t>Events — A list of event names that correspond to the events relevant to this destination. For example, the BankAccountAdded and BankAccountChanged events might be of interest to this external system- Each event triggers the Event Fired rule set for that destination- One user action could trigger multiple events. If one action creates more than one event that the destination listens for,  the application runs the Event Fired rules for every combination of event name</w:t>
        <w:br/>
        <w:t>and destination. The strings in the Events list are regex patterns- Developers must be careful to spell the regex patterns in the Events list correctly, as the destination will not work as expected if they are spelled incorrectly.  For example, a destination that listens for BankAccountChange will not respond to a BankAccountChanged message event.</w:t>
        <w:br/>
        <w:br/>
        <w:t>Best practice:</w:t>
        <w:br/>
        <w:t>For example, if the Events list included the string BankAccount, then the destination would listen for BankAccountAdded,  BankAccountChanged,  and BankAccountRemoved. In practice, though, it is best to explicitly list all the events a destination listens to.</w:t>
      </w:r>
    </w:p>
    <w:p>
      <w:pPr>
        <w:pStyle w:val="Heading3"/>
      </w:pPr>
      <w:r>
        <w:rPr>
          <w:sz w:val="24"/>
        </w:rPr>
        <w:t>Slide 15/28: (Untitled)</w:t>
      </w:r>
    </w:p>
    <w:p>
      <w:r>
        <w:rPr>
          <w:i/>
          <w:color w:val="888888"/>
        </w:rPr>
        <w:t>[Image placeholder]</w:t>
      </w:r>
    </w:p>
    <w:p>
      <w:pPr>
        <w:spacing w:before="80" w:after="80"/>
        <w:shd w:fill="E8E8E8" w:val="clear"/>
      </w:pPr>
      <w:r>
        <w:rPr>
          <w:i/>
          <w:color w:val="444444"/>
          <w:sz w:val="18"/>
        </w:rPr>
        <w:t>Speaker Notes: Other messaging destination parameters</w:t>
        <w:br/>
        <w:t xml:space="preserve">Guidewire now offers the Master's Subscription with new training content for InsuranceSuite 8.0 and above. More than just advanced topics, the Master's Subscription includes a variety of eLeaming videos designed for those who want to master their product knowledge and expertise, as well as deepen their understanding and application of best practices.  New content is added monthly,  providing continual learning and mastery. </w:t>
        <w:br/>
        <w:br/>
        <w:t xml:space="preserve"> The Guidewire Master’s Subscription is ideal for these roles:</w:t>
        <w:br/>
        <w:t xml:space="preserve">Developers who work on Guidewire products and desire a more in-depth understanding of the product and features </w:t>
        <w:br/>
        <w:t xml:space="preserve">System administrators who maintain Guidewire InsuranceSuite products, i.e.,  ongoing configuration or integration </w:t>
        <w:br/>
        <w:t>Anyone who supports their Guidewire Center of Excellence</w:t>
      </w:r>
    </w:p>
    <w:p>
      <w:pPr>
        <w:pStyle w:val="Heading3"/>
      </w:pPr>
      <w:r>
        <w:rPr>
          <w:sz w:val="24"/>
        </w:rPr>
        <w:t>Slide 16/28: (Untitled)</w:t>
      </w:r>
    </w:p>
    <w:p>
      <w:r>
        <w:rPr>
          <w:i/>
          <w:color w:val="888888"/>
        </w:rPr>
        <w:t>[Image placeholder]</w:t>
      </w:r>
    </w:p>
    <w:p>
      <w:pPr>
        <w:spacing w:before="80" w:after="80"/>
        <w:shd w:fill="E8E8E8" w:val="clear"/>
      </w:pPr>
      <w:r>
        <w:rPr>
          <w:i/>
          <w:color w:val="444444"/>
          <w:sz w:val="18"/>
        </w:rPr>
        <w:t>Speaker Notes: Deploy code changes</w:t>
        <w:br/>
        <w:t>You can restart the server from Studio by stopping a running server and after the server stops,  then starting the server again in either Run or Debug mode  (preferred for training).</w:t>
      </w:r>
    </w:p>
    <w:p>
      <w:pPr>
        <w:pStyle w:val="Heading3"/>
      </w:pPr>
      <w:r>
        <w:rPr>
          <w:sz w:val="24"/>
        </w:rPr>
        <w:t>Slide 17/28: (Untitled)</w:t>
      </w:r>
    </w:p>
    <w:p>
      <w:r>
        <w:rPr>
          <w:i/>
          <w:color w:val="888888"/>
        </w:rPr>
        <w:t>[Image placeholder]</w:t>
      </w:r>
    </w:p>
    <w:p>
      <w:pPr>
        <w:pStyle w:val="Heading3"/>
      </w:pPr>
      <w:r>
        <w:rPr>
          <w:sz w:val="24"/>
        </w:rPr>
        <w:t>Slide 18/28: (Untitled)</w:t>
      </w:r>
    </w:p>
    <w:p>
      <w:pPr>
        <w:pStyle w:val="Heading3"/>
      </w:pPr>
      <w:r>
        <w:rPr>
          <w:sz w:val="24"/>
        </w:rPr>
        <w:t>Slide 19/28: (Untitled)</w:t>
      </w:r>
    </w:p>
    <w:p>
      <w:r>
        <w:rPr>
          <w:i/>
          <w:color w:val="888888"/>
        </w:rPr>
        <w:t>[Image placeholder]</w:t>
      </w:r>
    </w:p>
    <w:p>
      <w:pPr>
        <w:pStyle w:val="Heading3"/>
      </w:pPr>
      <w:r>
        <w:rPr>
          <w:sz w:val="24"/>
        </w:rPr>
        <w:t>Slide 20/28: (Untitled)</w:t>
      </w:r>
    </w:p>
    <w:p>
      <w:r>
        <w:rPr>
          <w:i/>
          <w:color w:val="888888"/>
        </w:rPr>
        <w:t>[Image placeholder]</w:t>
      </w:r>
    </w:p>
    <w:p>
      <w:pPr>
        <w:pStyle w:val="Heading3"/>
      </w:pPr>
      <w:r>
        <w:rPr>
          <w:sz w:val="24"/>
        </w:rPr>
        <w:t>Slide 21/28: (Untitled)</w:t>
      </w:r>
    </w:p>
    <w:p>
      <w:r>
        <w:rPr>
          <w:i/>
          <w:color w:val="888888"/>
        </w:rPr>
        <w:t>[Image placeholder]</w:t>
      </w:r>
    </w:p>
    <w:p>
      <w:pPr>
        <w:pStyle w:val="Heading3"/>
      </w:pPr>
      <w:r>
        <w:rPr>
          <w:sz w:val="24"/>
        </w:rPr>
        <w:t>Slide 22/28: (Untitled)</w:t>
      </w:r>
    </w:p>
    <w:p>
      <w:r>
        <w:rPr>
          <w:i/>
          <w:color w:val="888888"/>
        </w:rPr>
        <w:t>[Image placeholder]</w:t>
      </w:r>
    </w:p>
    <w:p>
      <w:pPr>
        <w:pStyle w:val="Heading3"/>
      </w:pPr>
      <w:r>
        <w:rPr>
          <w:sz w:val="24"/>
        </w:rPr>
        <w:t>Slide 23/28: (Untitled)</w:t>
      </w:r>
    </w:p>
    <w:p>
      <w:r>
        <w:rPr>
          <w:i/>
          <w:color w:val="888888"/>
        </w:rPr>
        <w:t>[Image placeholder]</w:t>
      </w:r>
    </w:p>
    <w:p>
      <w:pPr>
        <w:pStyle w:val="Heading3"/>
      </w:pPr>
      <w:r>
        <w:rPr>
          <w:sz w:val="24"/>
        </w:rPr>
        <w:t>Slide 24/28: (Untitled)</w:t>
      </w:r>
    </w:p>
    <w:p>
      <w:r>
        <w:rPr>
          <w:i/>
          <w:color w:val="888888"/>
        </w:rPr>
        <w:t>[Image placeholder]</w:t>
      </w:r>
    </w:p>
    <w:p>
      <w:pPr>
        <w:pStyle w:val="Heading3"/>
      </w:pPr>
      <w:r>
        <w:rPr>
          <w:sz w:val="24"/>
        </w:rPr>
        <w:t>Slide 25/28: (Untitled)</w:t>
      </w:r>
    </w:p>
    <w:p>
      <w:r>
        <w:rPr>
          <w:i/>
          <w:color w:val="888888"/>
        </w:rPr>
        <w:t>[Image placeholder]</w:t>
      </w:r>
    </w:p>
    <w:p>
      <w:pPr>
        <w:pStyle w:val="Heading3"/>
      </w:pPr>
      <w:r>
        <w:rPr>
          <w:sz w:val="24"/>
        </w:rPr>
        <w:t>Slide 26/28: (Untitled)</w:t>
      </w:r>
    </w:p>
    <w:p>
      <w:r>
        <w:rPr>
          <w:i/>
          <w:color w:val="888888"/>
        </w:rPr>
        <w:t>[Image placeholder]</w:t>
      </w:r>
    </w:p>
    <w:p>
      <w:pPr>
        <w:pStyle w:val="Heading3"/>
      </w:pPr>
      <w:r>
        <w:rPr>
          <w:sz w:val="24"/>
        </w:rPr>
        <w:t>Slide 27/28: (Untitled)</w:t>
      </w:r>
    </w:p>
    <w:p>
      <w:r>
        <w:rPr>
          <w:i/>
          <w:color w:val="888888"/>
        </w:rPr>
        <w:t>[Image placeholder]</w:t>
      </w:r>
    </w:p>
    <w:p>
      <w:pPr>
        <w:pStyle w:val="Heading3"/>
      </w:pPr>
      <w:r>
        <w:rPr>
          <w:sz w:val="24"/>
        </w:rPr>
        <w:t>Slide 28/28: (Untitled)</w:t>
      </w:r>
    </w:p>
    <w:p>
      <w:r>
        <w:rPr>
          <w:i/>
          <w:color w:val="888888"/>
        </w:rPr>
        <w:t>[Image placeholder]</w:t>
      </w:r>
    </w:p>
    <w:p>
      <w:pPr>
        <w:pStyle w:val="Heading2"/>
      </w:pPr>
      <w:r>
        <w:t>Assignment</w:t>
      </w:r>
    </w:p>
    <w:p>
      <w:r>
        <w:rPr>
          <w:b/>
          <w:color w:val="008800"/>
        </w:rPr>
        <w:t>[Assignment 12]: Triggering Messages</w:t>
      </w:r>
    </w:p>
    <w:p>
      <w:r>
        <w:rPr>
          <w:i/>
          <w:sz w:val="18"/>
        </w:rPr>
        <w:t>File: 12 - Triggering Messages.pdf</w:t>
      </w:r>
    </w:p>
    <w:p/>
    <w:p>
      <w:pPr>
        <w:spacing w:before="240"/>
        <w:jc w:val="center"/>
      </w:pPr>
      <w:r>
        <w:rPr>
          <w:i/>
          <w:color w:val="999999"/>
          <w:sz w:val="16"/>
        </w:rPr>
        <w:t>--- End of Lesson 12: Triggering Messages | 28 slides | 19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