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13: Creating Messages</w:t>
      </w:r>
    </w:p>
    <w:p>
      <w:pPr>
        <w:spacing w:after="40"/>
      </w:pPr>
      <w:r>
        <w:rPr>
          <w:i/>
          <w:color w:val="999999"/>
          <w:sz w:val="16"/>
        </w:rPr>
        <w:t>Source: Creating Messages.pptx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1/20: (Untitled)</w:t>
      </w:r>
    </w:p>
    <w:p>
      <w:r>
        <w:rPr>
          <w:i/>
          <w:color w:val="888888"/>
        </w:rPr>
        <w:t>[Image placeholder]</w:t>
      </w:r>
    </w:p>
    <w:p>
      <w:pPr>
        <w:pStyle w:val="Heading3"/>
      </w:pPr>
      <w:r>
        <w:rPr>
          <w:sz w:val="24"/>
        </w:rPr>
        <w:t>Slide 2/20: (Untitled)</w:t>
      </w:r>
    </w:p>
    <w:p>
      <w:r>
        <w:rPr>
          <w:i/>
          <w:color w:val="888888"/>
        </w:rPr>
        <w:t>[Image placeholder]</w:t>
      </w:r>
    </w:p>
    <w:p>
      <w:pPr>
        <w:pStyle w:val="Heading3"/>
      </w:pPr>
      <w:r>
        <w:rPr>
          <w:sz w:val="24"/>
        </w:rPr>
        <w:t>Slide 3/20: (Untitled)</w:t>
      </w:r>
    </w:p>
    <w:p>
      <w:r>
        <w:rPr>
          <w:i/>
          <w:color w:val="888888"/>
        </w:rPr>
        <w:t>[Image placeholder]</w:t>
      </w:r>
    </w:p>
    <w:p>
      <w:pPr>
        <w:spacing w:before="80" w:after="80"/>
        <w:shd w:fill="E8E8E8" w:val="clear"/>
      </w:pPr>
      <w:r>
        <w:rPr>
          <w:i/>
          <w:color w:val="444444"/>
          <w:sz w:val="18"/>
        </w:rPr>
        <w:t>Speaker Notes: Use case</w:t>
        <w:br/>
        <w:t>The bank account message is triggered when a checking or savings bank account is added or modified. The message is created by the bank account verification event fired rules.</w:t>
      </w:r>
    </w:p>
    <w:p>
      <w:pPr>
        <w:pStyle w:val="Heading3"/>
      </w:pPr>
      <w:r>
        <w:rPr>
          <w:sz w:val="24"/>
        </w:rPr>
        <w:t>Slide 4/20: (Untitled)</w:t>
      </w:r>
    </w:p>
    <w:p>
      <w:r>
        <w:rPr>
          <w:i/>
          <w:color w:val="888888"/>
        </w:rPr>
        <w:t>[Image placeholder]</w:t>
      </w:r>
    </w:p>
    <w:p>
      <w:pPr>
        <w:spacing w:before="80" w:after="80"/>
        <w:shd w:fill="E8E8E8" w:val="clear"/>
      </w:pPr>
      <w:r>
        <w:rPr>
          <w:i/>
          <w:color w:val="444444"/>
          <w:sz w:val="18"/>
        </w:rPr>
        <w:t>Speaker Notes: Guidewire servers and messaging transactions</w:t>
        <w:br/>
        <w:t>The servers involved at each point of the process are important because they determine where payload work should occur. The majority of payload generation should be done in Event Fired rules on the ui role server that manages the given user's session. However, if some portion of payload generation must be done immediately before the message is sent, that portion of the payload can be generated on the messaging role server.</w:t>
        <w:br/>
        <w:t xml:space="preserve">A message is always processed in at least two an  as many as four transactions: </w:t>
        <w:br/>
        <w:t>Transaction 1 — Creates the message and generates the payload.  This transaction always occurs-</w:t>
        <w:br/>
        <w:t xml:space="preserve">Transaction 2 — Prior to sending the message, an optional transaction may transform the message payload. This is usually done when the message must include information that can only be known immediately before sending the message. </w:t>
        <w:br/>
        <w:t>Transaction 3 — The sending of the message to the external system occurs in its own transaction- This transaction always occurs. If the external system acknowledges the message synchronously,  then the acknowledgement is included in this transaction-</w:t>
        <w:br/>
        <w:t xml:space="preserve">Transaction 4 — If the external system acknowledges the message asynchronously, then a separate transaction processes the acknowledgement. This transaction does not occur for messages that are acknowledged synchronously- </w:t>
        <w:br/>
        <w:br/>
        <w:t>The transaction structure is important because this determines the work that is rolled back if an error occurs.</w:t>
      </w:r>
    </w:p>
    <w:p>
      <w:pPr>
        <w:pStyle w:val="Heading3"/>
      </w:pPr>
      <w:r>
        <w:rPr>
          <w:sz w:val="24"/>
        </w:rPr>
        <w:t>Slide 5/20: (Untitled)</w:t>
      </w:r>
    </w:p>
    <w:p>
      <w:r>
        <w:rPr>
          <w:i/>
          <w:color w:val="888888"/>
        </w:rPr>
        <w:t>[Image placeholder]</w:t>
      </w:r>
    </w:p>
    <w:p>
      <w:r>
        <w:rPr>
          <w:i/>
          <w:color w:val="888888"/>
        </w:rPr>
        <w:t>[Image placeholder]</w:t>
      </w:r>
    </w:p>
    <w:p>
      <w:pPr>
        <w:pStyle w:val="Heading3"/>
      </w:pPr>
      <w:r>
        <w:rPr>
          <w:sz w:val="24"/>
        </w:rPr>
        <w:t>Slide 6/20: (Untitled)</w:t>
      </w:r>
    </w:p>
    <w:p>
      <w:r>
        <w:rPr>
          <w:i/>
          <w:color w:val="888888"/>
        </w:rPr>
        <w:t>[Image placeholder]</w:t>
      </w:r>
    </w:p>
    <w:p>
      <w:pPr>
        <w:spacing w:before="80" w:after="80"/>
        <w:shd w:fill="E8E8E8" w:val="clear"/>
      </w:pPr>
      <w:r>
        <w:rPr>
          <w:i/>
          <w:color w:val="444444"/>
          <w:sz w:val="18"/>
        </w:rPr>
        <w:t>Speaker Notes: Guidewire business rules</w:t>
        <w:br/>
        <w:t>Business rules are covered in the Configuration Fundamentals course.</w:t>
        <w:br/>
        <w:br/>
        <w:t>A rule set combines many individual rules into a useful set to consider as a group. A rule set is a collection of rules that share the same root entity and share common triggers. In the example above, one rule set is Event Fired. By selecting the rule set, the editor displays the rule set description and details of the root entity. In this example, the root entity is entity. MessageContext.</w:t>
      </w:r>
    </w:p>
    <w:p>
      <w:pPr>
        <w:pStyle w:val="Heading3"/>
      </w:pPr>
      <w:r>
        <w:rPr>
          <w:sz w:val="24"/>
        </w:rPr>
        <w:t>Slide 7/20: (Untitled)</w:t>
      </w:r>
    </w:p>
    <w:p>
      <w:r>
        <w:rPr>
          <w:i/>
          <w:color w:val="888888"/>
        </w:rPr>
        <w:t>[Image placeholder]</w:t>
      </w:r>
    </w:p>
    <w:p>
      <w:pPr>
        <w:spacing w:before="80" w:after="80"/>
        <w:shd w:fill="E8E8E8" w:val="clear"/>
      </w:pPr>
      <w:r>
        <w:rPr>
          <w:i/>
          <w:color w:val="444444"/>
          <w:sz w:val="18"/>
        </w:rPr>
        <w:t>Speaker Notes: Rule set execution</w:t>
        <w:br/>
        <w:t>In a rule set, a Guidewire application evaluates the individual rules recursively in the hierarchy, unless an exit action isencountered. The process starts with the first direct child of the root and then evaluates all children and siblings. All rules in a rule set are processed unless an explicit exit is encountered. If a rule has child rules and the parent rule condition is false, neither the parent action nor the child rules are executed.</w:t>
      </w:r>
    </w:p>
    <w:p>
      <w:pPr>
        <w:pStyle w:val="Heading3"/>
      </w:pPr>
      <w:r>
        <w:rPr>
          <w:sz w:val="24"/>
        </w:rPr>
        <w:t>Slide 8/20: (Untitled)</w:t>
      </w:r>
    </w:p>
    <w:p>
      <w:r>
        <w:rPr>
          <w:i/>
          <w:color w:val="888888"/>
        </w:rPr>
        <w:t>[Image placeholder]</w:t>
      </w:r>
    </w:p>
    <w:p>
      <w:pPr>
        <w:spacing w:before="80" w:after="80"/>
        <w:shd w:fill="E8E8E8" w:val="clear"/>
      </w:pPr>
      <w:r>
        <w:rPr>
          <w:i/>
          <w:color w:val="444444"/>
          <w:sz w:val="18"/>
        </w:rPr>
        <w:t>Speaker Notes: Rule set editor</w:t>
        <w:br/>
        <w:t>You can think of a rule set as a logical grouping of rules that are specific to a business function. You typically organize these rules sets into a hierarchy that fits your business model. Guidewire strongly recommends that you implement a rule-naming scheme that is hierarchal in nature. A hierarchal naming convention will reflect the hierarchal structure when you create rules and organize rules into a hierarchy.However, the naming scheme forrules corresponds to the file</w:t>
        <w:br/>
        <w:t>structure on disk. So, if it has to  many levels customers can runinto problems with file names being too long on Windows.</w:t>
        <w:br/>
        <w:br/>
        <w:t xml:space="preserve">Individual rule files have the file extension .gr. For each rule, there is a condition and action. The Rule Editor provides overlays to segment the uses, condition and action. When a rule condition evaluates to true, the Guidewire application executes the rule action and child rules, if any. </w:t>
        <w:br/>
        <w:br/>
        <w:t>An inactive rule is not executed.You can activate and deactivate rules to get the rules engine to selective process and ignore rules. To deactivate a rule, disable the check box that appears to the left of the rule name. Inactive rules appear in gray. To reactivate the rule, enable the check box. To delete or rename a rule, right-click the rule and select the appropriate command from the context menu.</w:t>
      </w:r>
    </w:p>
    <w:p>
      <w:pPr>
        <w:pStyle w:val="Heading3"/>
      </w:pPr>
      <w:r>
        <w:rPr>
          <w:sz w:val="24"/>
        </w:rPr>
        <w:t>Slide 9/20: (Untitled)</w:t>
      </w:r>
    </w:p>
    <w:p>
      <w:r>
        <w:rPr>
          <w:i/>
          <w:color w:val="888888"/>
        </w:rPr>
        <w:t>[Image placeholder]</w:t>
      </w:r>
    </w:p>
    <w:p>
      <w:pPr>
        <w:spacing w:before="80" w:after="80"/>
        <w:shd w:fill="E8E8E8" w:val="clear"/>
      </w:pPr>
      <w:r>
        <w:rPr>
          <w:i/>
          <w:color w:val="444444"/>
          <w:sz w:val="18"/>
        </w:rPr>
        <w:t>Speaker Notes: Event Fired rule set</w:t>
        <w:br/>
        <w:t>The application calls the Event Fired rules if an entity involved in a bundle commit triggers an event for which a message destination has registered interest. As part of the event processing, the application:</w:t>
        <w:br/>
        <w:t>Runs the rules in the Event Fired rule set once for every event for which a message destination has registered interest.</w:t>
        <w:br/>
        <w:t>Creates a MessageContext entity for every message destination of interest.</w:t>
        <w:br/>
        <w:t>Runs the Event Fired rule set once for each destination that is listening for that particular event It is possible for the application to run the Event Fired rule sets multiple times for each event, once for each destination interested in that event.</w:t>
        <w:br/>
        <w:br/>
        <w:t>For example, a system has seven destinations that listento a given message event and it has 20 top-level Event Fired rules. Every time suchan event is fired, up to 140 checks may need to be made- Thus, it is critical to keep your Event Fired rulesorganized to avoid unnecessary or duplicate checks.</w:t>
        <w:br/>
        <w:br/>
        <w:t xml:space="preserve">A message payload contains static and/or dynamically generated data. For example, the payload for bank account message might contain the bank name, routing number, and account number of the given bank account as comma-separated values. The specific values for the bank name, routing number, and account number must be generated dynamically for each bank account message. </w:t>
        <w:br/>
        <w:br/>
        <w:t xml:space="preserve">The event fired rule set is not responsible for: </w:t>
        <w:br/>
        <w:t xml:space="preserve">Sending messages (transport plugin) </w:t>
        <w:br/>
        <w:t>Acknowledging messages (transport or reply plugins)</w:t>
      </w:r>
    </w:p>
    <w:p>
      <w:pPr>
        <w:pStyle w:val="Heading3"/>
      </w:pPr>
      <w:r>
        <w:rPr>
          <w:sz w:val="24"/>
        </w:rPr>
        <w:t>Slide 10/20: (Untitled)</w:t>
      </w:r>
    </w:p>
    <w:p>
      <w:r>
        <w:rPr>
          <w:i/>
          <w:color w:val="888888"/>
        </w:rPr>
        <w:t>[Image placeholder]</w:t>
      </w:r>
    </w:p>
    <w:p>
      <w:pPr>
        <w:spacing w:before="80" w:after="80"/>
        <w:shd w:fill="E8E8E8" w:val="clear"/>
      </w:pPr>
      <w:r>
        <w:rPr>
          <w:i/>
          <w:color w:val="444444"/>
          <w:sz w:val="18"/>
        </w:rPr>
        <w:t>Speaker Notes: Common options for generating message payloads</w:t>
        <w:br/>
        <w:t xml:space="preserve">Gosu template, XML modelers, and Integration View are not the only ways for generating a message payload, but they are commonly used. Likewise, message payload generation is not the sole purpose of a Gosu template XML modeler, or Integration View. </w:t>
        <w:br/>
        <w:br/>
        <w:t xml:space="preserve"> Other technologies that can be used to generate payloads include: </w:t>
        <w:br/>
        <w:t xml:space="preserve">Manually creating untyped XML using the XmlElement class </w:t>
        <w:br/>
        <w:t xml:space="preserve">Manually creating stronglytyped XML from an XSD type </w:t>
        <w:br/>
        <w:t>Any logic that creates a string suitable for use as a payload</w:t>
      </w:r>
    </w:p>
    <w:p>
      <w:pPr>
        <w:pStyle w:val="Heading3"/>
      </w:pPr>
      <w:r>
        <w:rPr>
          <w:sz w:val="24"/>
        </w:rPr>
        <w:t>Slide 11/20: (Untitled)</w:t>
      </w:r>
    </w:p>
    <w:p>
      <w:r>
        <w:rPr>
          <w:i/>
          <w:color w:val="888888"/>
        </w:rPr>
        <w:t>[Image placeholder]</w:t>
      </w:r>
    </w:p>
    <w:p>
      <w:pPr>
        <w:spacing w:before="80" w:after="80"/>
        <w:shd w:fill="E8E8E8" w:val="clear"/>
      </w:pPr>
      <w:r>
        <w:rPr>
          <w:i/>
          <w:color w:val="444444"/>
          <w:sz w:val="18"/>
        </w:rPr>
        <w:t>Speaker Notes: Late binding in the payload</w:t>
        <w:br/>
        <w:t>Good candidates for late binding include:</w:t>
        <w:br/>
        <w:t>A send timestamp</w:t>
        <w:br/>
        <w:t>The message ID and/or its public ID</w:t>
        <w:br/>
        <w:t>An identifier from the external system that was sent in reply to a previous message</w:t>
        <w:br/>
        <w:br/>
        <w:t>For example, imagine an integration point in which the first message communicates that a new entity was added- The reply to the first message contains the ID to be used for the new entity on the external system- The second message identifies a change on this new entity. However, the second message is created before the first message has been sent (or before the reply to the first message has been received). The second message must use the ID in the reply to the first message- The only way this ID can be added to the second message is through late binding.</w:t>
        <w:br/>
        <w:br/>
        <w:t>Typically, values that are tobe late bound are added to the message payload using a placeholder marked by special character delimiters, such as &lt;@@ and @@&gt;. In the message request plugin, these placeholders are replaced with the required data. Be careful about what data you set via late binding- Typically, the message payload should reflect a consistent snapshot of the system at the time the Event Fired rule executed. Late binding should not be used to capture entity data after message creation.</w:t>
      </w:r>
    </w:p>
    <w:p>
      <w:pPr>
        <w:pStyle w:val="Heading3"/>
      </w:pPr>
      <w:r>
        <w:rPr>
          <w:sz w:val="24"/>
        </w:rPr>
        <w:t>Slide 12/20: (Untitled)</w:t>
      </w:r>
    </w:p>
    <w:p>
      <w:r>
        <w:rPr>
          <w:i/>
          <w:color w:val="888888"/>
        </w:rPr>
        <w:t>[Image placeholder]</w:t>
      </w:r>
    </w:p>
    <w:p>
      <w:pPr>
        <w:spacing w:before="80" w:after="80"/>
        <w:shd w:fill="E8E8E8" w:val="clear"/>
      </w:pPr>
      <w:r>
        <w:rPr>
          <w:i/>
          <w:color w:val="444444"/>
          <w:sz w:val="18"/>
        </w:rPr>
        <w:t>Speaker Notes: Event Fired rule set hierarchy structure</w:t>
        <w:br/>
        <w:t>Best practice:</w:t>
        <w:br/>
        <w:t>Every MessageContext is processed by the entire Event Fired rule set. However, each istypically of interest to a small subset of rules. Therefore, you should create a hierarchy to filter MessageContext objects whenever possible.</w:t>
      </w:r>
    </w:p>
    <w:p>
      <w:pPr>
        <w:pStyle w:val="Heading3"/>
      </w:pPr>
      <w:r>
        <w:rPr>
          <w:sz w:val="24"/>
        </w:rPr>
        <w:t>Slide 13/20: (Untitled)</w:t>
      </w:r>
    </w:p>
    <w:p>
      <w:r>
        <w:rPr>
          <w:i/>
          <w:color w:val="888888"/>
        </w:rPr>
        <w:t>[Image placeholder]</w:t>
      </w:r>
    </w:p>
    <w:p>
      <w:pPr>
        <w:spacing w:before="80" w:after="80"/>
        <w:shd w:fill="E8E8E8" w:val="clear"/>
      </w:pPr>
      <w:r>
        <w:rPr>
          <w:i/>
          <w:color w:val="444444"/>
          <w:sz w:val="18"/>
        </w:rPr>
        <w:t>Speaker Notes: Creating a message from MessageContext</w:t>
        <w:br/>
        <w:t>Code example</w:t>
        <w:br/>
        <w:t>Line 25</w:t>
        <w:br/>
        <w:t>messageContext.Root field is of type Object.</w:t>
        <w:br/>
        <w:t>To extract information from it, cast object to the appropriate type.</w:t>
        <w:br/>
        <w:t>Line 29</w:t>
        <w:br/>
        <w:t>String payload created using a Gosu template for savings account.</w:t>
        <w:br/>
        <w:t>Line 30</w:t>
        <w:br/>
        <w:t xml:space="preserve">Creates the message and the rule returns a message object. </w:t>
        <w:br/>
        <w:br/>
        <w:t>XML Modeler and Integration Views could also be used to generate XML or JSON string payloads.</w:t>
      </w:r>
    </w:p>
    <w:p>
      <w:pPr>
        <w:pStyle w:val="Heading3"/>
      </w:pPr>
      <w:r>
        <w:rPr>
          <w:sz w:val="24"/>
        </w:rPr>
        <w:t>Slide 14/20: (Untitled)</w:t>
      </w:r>
    </w:p>
    <w:p>
      <w:r>
        <w:rPr>
          <w:i/>
          <w:color w:val="888888"/>
        </w:rPr>
        <w:t>[Image placeholder]</w:t>
      </w:r>
    </w:p>
    <w:p>
      <w:pPr>
        <w:spacing w:before="80" w:after="80"/>
        <w:shd w:fill="E8E8E8" w:val="clear"/>
      </w:pPr>
      <w:r>
        <w:rPr>
          <w:i/>
          <w:color w:val="444444"/>
          <w:sz w:val="18"/>
        </w:rPr>
        <w:t>Speaker Notes: Deploy code changes</w:t>
        <w:br/>
        <w:t>You can restart the server from Studio by stopping a running server and after the server stops, then starting the server again in either Run or Debug mode  (preferred for training).</w:t>
      </w:r>
    </w:p>
    <w:p>
      <w:pPr>
        <w:pStyle w:val="Heading3"/>
      </w:pPr>
      <w:r>
        <w:rPr>
          <w:sz w:val="24"/>
        </w:rPr>
        <w:t>Slide 15/20: (Untitled)</w:t>
      </w:r>
    </w:p>
    <w:p>
      <w:r>
        <w:rPr>
          <w:i/>
          <w:color w:val="888888"/>
        </w:rPr>
        <w:t>[Image placeholder]</w:t>
      </w:r>
    </w:p>
    <w:p>
      <w:pPr>
        <w:pStyle w:val="Heading3"/>
      </w:pPr>
      <w:r>
        <w:rPr>
          <w:sz w:val="24"/>
        </w:rPr>
        <w:t>Slide 16/20: (Untitled)</w:t>
      </w:r>
    </w:p>
    <w:p>
      <w:pPr>
        <w:pStyle w:val="Heading3"/>
      </w:pPr>
      <w:r>
        <w:rPr>
          <w:sz w:val="24"/>
        </w:rPr>
        <w:t>Slide 17/20: (Untitled)</w:t>
      </w:r>
    </w:p>
    <w:p>
      <w:r>
        <w:rPr>
          <w:i/>
          <w:color w:val="888888"/>
        </w:rPr>
        <w:t>[Image placeholder]</w:t>
      </w:r>
    </w:p>
    <w:p>
      <w:pPr>
        <w:pStyle w:val="Heading3"/>
      </w:pPr>
      <w:r>
        <w:rPr>
          <w:sz w:val="24"/>
        </w:rPr>
        <w:t>Slide 18/20: (Untitled)</w:t>
      </w:r>
    </w:p>
    <w:p>
      <w:r>
        <w:rPr>
          <w:i/>
          <w:color w:val="888888"/>
        </w:rPr>
        <w:t>[Image placeholder]</w:t>
      </w:r>
    </w:p>
    <w:p>
      <w:pPr>
        <w:pStyle w:val="Heading3"/>
      </w:pPr>
      <w:r>
        <w:rPr>
          <w:sz w:val="24"/>
        </w:rPr>
        <w:t>Slide 19/20: (Untitled)</w:t>
      </w:r>
    </w:p>
    <w:p>
      <w:r>
        <w:rPr>
          <w:i/>
          <w:color w:val="888888"/>
        </w:rPr>
        <w:t>[Image placeholder]</w:t>
      </w:r>
    </w:p>
    <w:p>
      <w:pPr>
        <w:pStyle w:val="Heading3"/>
      </w:pPr>
      <w:r>
        <w:rPr>
          <w:sz w:val="24"/>
        </w:rPr>
        <w:t>Slide 20/20: (Untitled)</w:t>
      </w:r>
    </w:p>
    <w:p>
      <w:r>
        <w:rPr>
          <w:i/>
          <w:color w:val="888888"/>
        </w:rPr>
        <w:t>[Image placeholder]</w:t>
      </w:r>
    </w:p>
    <w:p>
      <w:pPr>
        <w:pStyle w:val="Heading2"/>
      </w:pPr>
      <w:r>
        <w:t>Assignment</w:t>
      </w:r>
    </w:p>
    <w:p>
      <w:r>
        <w:rPr>
          <w:b/>
          <w:color w:val="008800"/>
        </w:rPr>
        <w:t>[Assignment 13]: Creating Messages</w:t>
      </w:r>
    </w:p>
    <w:p>
      <w:r>
        <w:rPr>
          <w:i/>
          <w:sz w:val="18"/>
        </w:rPr>
        <w:t>File: 13 - Creating Messages.pdf</w:t>
      </w:r>
    </w:p>
    <w:p/>
    <w:p>
      <w:pPr>
        <w:spacing w:before="240"/>
        <w:jc w:val="center"/>
      </w:pPr>
      <w:r>
        <w:rPr>
          <w:i/>
          <w:color w:val="999999"/>
          <w:sz w:val="16"/>
        </w:rPr>
        <w:t>--- End of Lesson 13: Creating Messages | 20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