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14: Message Payload Transformation</w:t>
      </w:r>
    </w:p>
    <w:p>
      <w:pPr>
        <w:spacing w:after="40"/>
      </w:pPr>
      <w:r>
        <w:rPr>
          <w:i/>
          <w:color w:val="999999"/>
          <w:sz w:val="16"/>
        </w:rPr>
        <w:t>Source: Message Payload Transformation.pptx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br/>
        <w:t xml:space="preserve">A message is always processed in at least two and as many as four transactions: </w:t>
        <w:br/>
        <w:t>Transaction 1 — Creates the message and generates the payload. This transaction always occurs.</w:t>
        <w:br/>
        <w:t xml:space="preserve">Transaction 2 — Prior to sending the message, an optional transaction may transform the message payload. This is usually done when the message must include information that can only be known immediately before sending the message.  </w:t>
        <w:br/>
        <w:t>Transaction 3 — The sending of the message to the external system occurs in its own transaction- This transaction always occurs. If the external system acknowledges the message synchronously, then the acknowledgement is included in this transaction.</w:t>
        <w:br/>
        <w:t>Transaction 4 — If the external system acknowledges the message asynchronously, then a separate transaction processes the acknowledgement. This transaction does not occur for messages that are acknowledged synchronously.</w:t>
        <w:br/>
        <w:br/>
        <w:t xml:space="preserve"> The transaction structure is important because this determines the work that is rolled back if an error occurs.</w:t>
      </w:r>
    </w:p>
    <w:p>
      <w:pPr>
        <w:pStyle w:val="Heading3"/>
      </w:pPr>
      <w:r>
        <w:rPr>
          <w:sz w:val="24"/>
        </w:rPr>
        <w:t>Slide 5/24: (Untitled)</w:t>
      </w:r>
    </w:p>
    <w:p>
      <w:r>
        <w:rPr>
          <w:i/>
          <w:color w:val="888888"/>
        </w:rPr>
        <w:t>[Image placeholder]</w:t>
      </w:r>
    </w:p>
    <w:p>
      <w:pPr>
        <w:pStyle w:val="Heading3"/>
      </w:pPr>
      <w:r>
        <w:rPr>
          <w:sz w:val="24"/>
        </w:rPr>
        <w:t>Slide 6/24: (Untitled)</w:t>
      </w:r>
    </w:p>
    <w:p>
      <w:r>
        <w:rPr>
          <w:i/>
          <w:color w:val="888888"/>
        </w:rPr>
        <w:t>[Image placeholder]</w:t>
      </w:r>
    </w:p>
    <w:p>
      <w:pPr>
        <w:spacing w:before="80" w:after="80"/>
        <w:shd w:fill="E8E8E8" w:val="clear"/>
      </w:pPr>
      <w:r>
        <w:rPr>
          <w:i/>
          <w:color w:val="444444"/>
          <w:sz w:val="18"/>
        </w:rPr>
        <w:t>Speaker Notes: Payload late binding</w:t>
        <w:br/>
        <w:t>Good candidates for late binding include:</w:t>
        <w:br/>
        <w:t>A send timestamp</w:t>
        <w:br/>
        <w:t>The message ID and/or its public ID</w:t>
        <w:br/>
        <w:t>An identifier from the external system that was sent in reply to a previous message</w:t>
        <w:br/>
        <w:br/>
        <w:t>For example, imagine an integration point in which the first message communicates that a new entity was added- The reply to the first message contains the ID to be used for the new entity on the external system- The second message identifies a change on this new entity. However, the second message is created before the first message has been sent (or before the reply to the first message has been received). The second message must use the ID in the reply to the first message- The only way this ID can be added to the second message is through late binding.</w:t>
        <w:br/>
        <w:br/>
        <w:t>Typically, values that are to be late bound are added to the message payload using a placeholder marked by special character delimiters, such as &lt;@@ and @@&gt;. In the message request plugin, these placeholders are replaced with the required data.</w:t>
        <w:br/>
        <w:br/>
        <w:t>Be careful about what data you set via late binding. Typically, the message payload should reflect a consistent snapshot of the system at the time the Event Fired rule executed. Late binding should not be used to capture entity data after message creation-</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SenderReflD</w:t>
        <w:br/>
        <w:t>In some cases, there is no need to set the SenderReflD field:</w:t>
        <w:br/>
        <w:t>A message does not need a reply from the external system. These are fire and finish messages where Guidewire must simply inform some other system of some event, but Guidewire does not get any response from the other system.</w:t>
        <w:br/>
        <w:t>A message is replied to synchronously at the time that it is sent, and the external system does not need the value.</w:t>
        <w:br/>
        <w:t>In both cases, the application synchronously marks the message as acknowledged in the same code that sends the message.</w:t>
        <w:br/>
        <w:br/>
        <w:t>In some cases, the external system determines the SenderReflD.</w:t>
        <w:br/>
        <w:t>The transport plugin sends the outbound message.</w:t>
        <w:br/>
        <w:t>The transport plugin receives the SenderReflD value from the external system  (synchronously).</w:t>
        <w:br/>
        <w:t>The transport plugin sets the SenderReflD field on the message.</w:t>
      </w:r>
    </w:p>
    <w:p>
      <w:pPr>
        <w:pStyle w:val="Heading3"/>
      </w:pPr>
      <w:r>
        <w:rPr>
          <w:sz w:val="24"/>
        </w:rPr>
        <w:t>Slide 8/24: (Untitled)</w:t>
      </w:r>
    </w:p>
    <w:p>
      <w:r>
        <w:rPr>
          <w:i/>
          <w:color w:val="888888"/>
        </w:rPr>
        <w:t>[Image placeholder]</w:t>
      </w:r>
    </w:p>
    <w:p>
      <w:pPr>
        <w:pStyle w:val="Heading3"/>
      </w:pPr>
      <w:r>
        <w:rPr>
          <w:sz w:val="24"/>
        </w:rPr>
        <w:t>Slide 9/24: (Untitled)</w:t>
      </w:r>
    </w:p>
    <w:p>
      <w:r>
        <w:rPr>
          <w:i/>
          <w:color w:val="888888"/>
        </w:rPr>
        <w:t>[Image placeholder]</w:t>
      </w:r>
    </w:p>
    <w:p>
      <w:pPr>
        <w:spacing w:before="80" w:after="80"/>
        <w:shd w:fill="E8E8E8" w:val="clear"/>
      </w:pPr>
      <w:r>
        <w:rPr>
          <w:i/>
          <w:color w:val="444444"/>
          <w:sz w:val="18"/>
        </w:rPr>
        <w:t>Speaker Notes: Message request plugin</w:t>
        <w:br/>
        <w:t>For more information, see the section Implementing Messaging Plugins in the product documentation.</w:t>
      </w:r>
    </w:p>
    <w:p>
      <w:pPr>
        <w:pStyle w:val="Heading3"/>
      </w:pPr>
      <w:r>
        <w:rPr>
          <w:sz w:val="24"/>
        </w:rPr>
        <w:t>Slide 10/24: (Untitled)</w:t>
      </w:r>
    </w:p>
    <w:p>
      <w:r>
        <w:rPr>
          <w:i/>
          <w:color w:val="888888"/>
        </w:rPr>
        <w:t>[Image placeholder]</w:t>
      </w:r>
    </w:p>
    <w:p>
      <w:pPr>
        <w:spacing w:before="80" w:after="80"/>
        <w:shd w:fill="E8E8E8" w:val="clear"/>
      </w:pPr>
      <w:r>
        <w:rPr>
          <w:i/>
          <w:color w:val="444444"/>
          <w:sz w:val="18"/>
        </w:rPr>
        <w:t>Speaker Notes: Create a message request plugin class</w:t>
        <w:br/>
        <w:t>Code example</w:t>
        <w:br/>
        <w:t>Line 9</w:t>
        <w:br/>
        <w:t>Implement the MessageRequest interface.</w:t>
        <w:br/>
        <w:t>Message entity instance is in transaction 2 scope.</w:t>
        <w:br/>
        <w:t>Lines 15-16</w:t>
        <w:br/>
        <w:t>Method annotations added.</w:t>
        <w:br/>
        <w:t>Line 17</w:t>
        <w:br/>
        <w:t>Must override beforeSend method.</w:t>
        <w:br/>
        <w:t>Message object is passed.</w:t>
        <w:br/>
        <w:t>Payload transformation is done in the request plugin's beforeSend method.</w:t>
        <w:br/>
        <w:t>It is called immediately before the message is sent.</w:t>
        <w:br/>
        <w:t>The method must always return a transformed payload. If the payload is not transformed, then the original payload should be returned.</w:t>
        <w:br/>
        <w:br/>
        <w:t>afterSend method</w:t>
        <w:br/>
        <w:t>Performs post-processing on the Message object immediately after sending the message with the send method of the MessageTransport plugin. Typically, not implemented.</w:t>
        <w:br/>
        <w:br/>
        <w:t>resume, suspend, and shutdown methods</w:t>
        <w:br/>
        <w:t>Are called by the application when the destination is resumed, suspended, or the server shuts down. Plugins should acquire or release external resources at these times- For example,  a plugin may need to create or close JMS or JDBC connections, JMS Sessions, sockets, and so on.</w:t>
        <w:br/>
        <w:t>Typically, these methods are empty in a request plugin. In a production environment, they should be implemented for transport and reply plugins-</w:t>
        <w:br/>
        <w:t>The plugin should throw a Guidewire InitializationException (gw.plugin.messaging-lnitializationException) from resume if the resources have not initialized successfully. (A manual resume could be attempted later and may be successful.)</w:t>
        <w:br/>
        <w:br/>
        <w:t>set DestinationlD property</w:t>
        <w:br/>
        <w:t>Is not related to how a message is suspended or resumed.</w:t>
        <w:br/>
        <w:t>It allows your destination to get its own destination ID to store it in a private variable. Your code can use the stored destination ID value for logging messages or send it to integration systems so that they can programmatically suspend/resume the destination if necessary- Keep in mind that the valid range for your destination IDs is 0 through 63, inclusive.</w:t>
        <w:br/>
        <w:t>Guidewire reserves all other destination IDs for built-in destinations, such as the email transportdestination.</w:t>
      </w:r>
    </w:p>
    <w:p>
      <w:pPr>
        <w:pStyle w:val="Heading3"/>
      </w:pPr>
      <w:r>
        <w:rPr>
          <w:sz w:val="24"/>
        </w:rPr>
        <w:t>Slide 11/24: (Untitled)</w:t>
      </w:r>
    </w:p>
    <w:p>
      <w:r>
        <w:rPr>
          <w:i/>
          <w:color w:val="888888"/>
        </w:rPr>
        <w:t>[Image placeholder]</w:t>
      </w:r>
    </w:p>
    <w:p>
      <w:pPr>
        <w:spacing w:before="80" w:after="80"/>
        <w:shd w:fill="E8E8E8" w:val="clear"/>
      </w:pPr>
      <w:r>
        <w:rPr>
          <w:i/>
          <w:color w:val="444444"/>
          <w:sz w:val="18"/>
        </w:rPr>
        <w:t>Speaker Notes: Set the SenderReflD</w:t>
        <w:br/>
        <w:t>Code example</w:t>
        <w:br/>
        <w:t>Line 19</w:t>
        <w:br/>
        <w:t>Determine if the SenderReflD hasn’t already been set for this message.</w:t>
        <w:br/>
        <w:t>A single SenderReflD should be used for all attempts to send the same message.</w:t>
        <w:br/>
        <w:t>Application may need to attempt to send multiple times if it encounters errors.</w:t>
        <w:br/>
        <w:t>Line 20</w:t>
        <w:br/>
        <w:t>Set the SenderReflD in the massage typically using the PubliclD field.</w:t>
        <w:br/>
        <w:br/>
        <w:t>When an asynchronous reply is received, the SenderReflD is used to locate the message to acknowledge, even if the message was sent multiple times due to error. As long as all automatically retried messages have the same SenderReflD as the original, Guidewire can find the correct message to acknowledge, regardless of which specific instance the external system is replying to.</w:t>
        <w:br/>
        <w:br/>
        <w:t>PubliclD</w:t>
        <w:br/>
        <w:t>All entities, including Message, have a PubliclD field. The purpose of this field is to identify instances of the entity as they are known by the external system. Thus,  the purpose of the SenderReflD field is identical to that of the PubliclD field.  The Message entity has two public identification fields because earlier versions of the Guidewire applications did not have the PubliclD field across all entities- However, the Message entity absolutely required a settable field that could be shared with external systems, and so Message was created with the SenderReflD field- As the Guidewire applications matured, the PubliclD field was added to entities in the data model. This allowed other entities beyond Message to be shared with external systems.</w:t>
        <w:br/>
        <w:br/>
        <w:t>Even though you theoretically could use Message’s PubliclD field, Guidewire recommends you use SenderReflD instead. There are numerous base application methods that make use of SenderReflD,  such as IMessagingToolsAPl’s getMessagelD method that takes the SenderReflD as an input and the MessageFindeis findHistoryBySenderReflD method. Using PubliclD to identify a message could make an implantation more complex.</w:t>
      </w:r>
    </w:p>
    <w:p>
      <w:pPr>
        <w:pStyle w:val="Heading3"/>
      </w:pPr>
      <w:r>
        <w:rPr>
          <w:sz w:val="24"/>
        </w:rPr>
        <w:t>Slide 12/24: (Untitled)</w:t>
      </w:r>
    </w:p>
    <w:p>
      <w:r>
        <w:rPr>
          <w:i/>
          <w:color w:val="888888"/>
        </w:rPr>
        <w:t>[Image placeholder]</w:t>
      </w:r>
    </w:p>
    <w:p>
      <w:pPr>
        <w:spacing w:before="80" w:after="80"/>
        <w:shd w:fill="E8E8E8" w:val="clear"/>
      </w:pPr>
      <w:r>
        <w:rPr>
          <w:i/>
          <w:color w:val="444444"/>
          <w:sz w:val="18"/>
        </w:rPr>
        <w:t>Speaker Notes: Transform the payload</w:t>
        <w:br/>
        <w:t>Code example</w:t>
        <w:br/>
        <w:t>Line 23</w:t>
        <w:br/>
        <w:t>Create the transformedPayload variable based on the original payload.</w:t>
        <w:br/>
        <w:t>Line 24</w:t>
        <w:br/>
        <w:t>Determine if the message is based on a savings account.</w:t>
        <w:br/>
        <w:t>Line 26</w:t>
        <w:br/>
        <w:t>Transform the payload by adding the SenderReflD.</w:t>
        <w:br/>
        <w:t>Line 28</w:t>
        <w:br/>
        <w:t>Calculate the age of the message by comparing the time the message was created to the time just before send.</w:t>
        <w:br/>
        <w:t>Lines 30-32</w:t>
        <w:br/>
        <w:t>Transform the payload by replacing the token with the calculated agelnSeconds variable.</w:t>
        <w:br/>
        <w:t>Line 33</w:t>
        <w:br/>
        <w:t>Must return a payload that will be passed to the send method in the transport plugin.</w:t>
        <w:br/>
        <w:br/>
        <w:t xml:space="preserve">You can modify the message payload using a placeholder or token- Often, tokens and placeholders are designated with special character delimiters, such as &lt;@@ and @@&gt;. In the beforeSend method, these placeholders are replaced with the required data for late binding. </w:t>
        <w:br/>
        <w:br/>
        <w:t>In some situations, the initial sending of the message is unsuccessful. This could be because of a problem with the Guidewire application or with the external system. In these situations, the message needs to be resent. Because a message may be sent multiple times, the before Send method may be called multiple times. Therefore, the beforeSend method should not modify the message payload directly. Instead, it should return a transformed payload. This lets later attempts to send the message transform the payload as appropriate.</w:t>
      </w:r>
    </w:p>
    <w:p>
      <w:pPr>
        <w:pStyle w:val="Heading3"/>
      </w:pPr>
      <w:r>
        <w:rPr>
          <w:sz w:val="24"/>
        </w:rPr>
        <w:t>Slide 13/24: (Untitled)</w:t>
      </w:r>
    </w:p>
    <w:p>
      <w:r>
        <w:rPr>
          <w:i/>
          <w:color w:val="888888"/>
        </w:rPr>
        <w:t>[Image placeholder]</w:t>
      </w:r>
    </w:p>
    <w:p>
      <w:pPr>
        <w:pStyle w:val="Heading3"/>
      </w:pPr>
      <w:r>
        <w:rPr>
          <w:sz w:val="24"/>
        </w:rPr>
        <w:t>Slide 14/24: (Untitled)</w:t>
      </w:r>
    </w:p>
    <w:p>
      <w:r>
        <w:rPr>
          <w:i/>
          <w:color w:val="888888"/>
        </w:rPr>
        <w:t>[Image placeholder]</w:t>
      </w:r>
    </w:p>
    <w:p>
      <w:pPr>
        <w:spacing w:before="80" w:after="80"/>
        <w:shd w:fill="E8E8E8" w:val="clear"/>
      </w:pPr>
      <w:r>
        <w:rPr>
          <w:i/>
          <w:color w:val="444444"/>
          <w:sz w:val="18"/>
        </w:rPr>
        <w:t>Speaker Notes: Configure the plugin</w:t>
        <w:br/>
        <w:t>This plugin does not implement parameters.</w:t>
      </w:r>
    </w:p>
    <w:p>
      <w:pPr>
        <w:pStyle w:val="Heading3"/>
      </w:pPr>
      <w:r>
        <w:rPr>
          <w:sz w:val="24"/>
        </w:rPr>
        <w:t>Slide 15/24: (Untitled)</w:t>
      </w:r>
    </w:p>
    <w:p>
      <w:r>
        <w:rPr>
          <w:i/>
          <w:color w:val="888888"/>
        </w:rPr>
        <w:t>[Image placeholder]</w:t>
      </w:r>
    </w:p>
    <w:p>
      <w:pPr>
        <w:spacing w:before="80" w:after="80"/>
        <w:shd w:fill="E8E8E8" w:val="clear"/>
      </w:pPr>
      <w:r>
        <w:rPr>
          <w:i/>
          <w:color w:val="444444"/>
          <w:sz w:val="18"/>
        </w:rPr>
        <w:t>Speaker Notes: Configure the destination</w:t>
        <w:br/>
        <w:t>For pre-defined plugins (such as authentication), you can implement only one version of each plugin at a time. For messaging plugins, you can implement any number of MessageRequest,  MessageTransport, and MessageReply plugins.  Every destination can use only one message request plugin.</w:t>
      </w:r>
    </w:p>
    <w:p>
      <w:pPr>
        <w:pStyle w:val="Heading3"/>
      </w:pPr>
      <w:r>
        <w:rPr>
          <w:sz w:val="24"/>
        </w:rPr>
        <w:t>Slide 16/24: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17/24: (Untitled)</w:t>
      </w:r>
    </w:p>
    <w:p>
      <w:r>
        <w:rPr>
          <w:i/>
          <w:color w:val="888888"/>
        </w:rPr>
        <w:t>[Image placeholder]</w:t>
      </w:r>
    </w:p>
    <w:p>
      <w:pPr>
        <w:pStyle w:val="Heading3"/>
      </w:pPr>
      <w:r>
        <w:rPr>
          <w:sz w:val="24"/>
        </w:rPr>
        <w:t>Slide 18/24: (Untitled)</w:t>
      </w:r>
    </w:p>
    <w:p>
      <w:pPr>
        <w:pStyle w:val="Heading3"/>
      </w:pPr>
      <w:r>
        <w:rPr>
          <w:sz w:val="24"/>
        </w:rPr>
        <w:t>Slide 19/24: (Untitled)</w:t>
      </w:r>
    </w:p>
    <w:p>
      <w:r>
        <w:rPr>
          <w:i/>
          <w:color w:val="888888"/>
        </w:rPr>
        <w:t>[Image placeholder]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Pr>
        <w:pStyle w:val="Heading2"/>
      </w:pPr>
      <w:r>
        <w:t>Assignment</w:t>
      </w:r>
    </w:p>
    <w:p>
      <w:r>
        <w:rPr>
          <w:b/>
          <w:color w:val="008800"/>
        </w:rPr>
        <w:t>[Assignment 14]: Message Payload Transformation</w:t>
      </w:r>
    </w:p>
    <w:p>
      <w:r>
        <w:rPr>
          <w:i/>
          <w:sz w:val="18"/>
        </w:rPr>
        <w:t>File: 14 - Message Payload Transformation.pdf</w:t>
      </w:r>
    </w:p>
    <w:p/>
    <w:p>
      <w:pPr>
        <w:spacing w:before="240"/>
        <w:jc w:val="center"/>
      </w:pPr>
      <w:r>
        <w:rPr>
          <w:i/>
          <w:color w:val="999999"/>
          <w:sz w:val="16"/>
        </w:rPr>
        <w:t>--- End of Lesson 14: Message Payload Transformation | 24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