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11: Introduction to Integration</w:t>
      </w:r>
    </w:p>
    <w:p>
      <w:pPr>
        <w:pStyle w:val="Heading2"/>
      </w:pPr>
      <w:r>
        <w:rPr>
          <w:color w:val="333333"/>
          <w:sz w:val="28"/>
        </w:rPr>
        <w:t>Lesson 15: Sending Messages</w:t>
      </w:r>
    </w:p>
    <w:p>
      <w:pPr>
        <w:spacing w:after="40"/>
      </w:pPr>
      <w:r>
        <w:rPr>
          <w:i/>
          <w:color w:val="999999"/>
          <w:sz w:val="16"/>
        </w:rPr>
        <w:t>Source: Sending Messages.pptx</w:t>
      </w:r>
    </w:p>
    <w:p>
      <w:pPr>
        <w:pStyle w:val="Heading3"/>
      </w:pPr>
      <w:r>
        <w:t>Video References</w:t>
      </w:r>
    </w:p>
    <w:p>
      <w:pPr>
        <w:pStyle w:val="ListNumber"/>
      </w:pPr>
      <w:r>
        <w:rPr>
          <w:color w:val="0066CC"/>
          <w:sz w:val="20"/>
        </w:rPr>
        <w:t>[Video 1: In_02_01.mp4]</w:t>
      </w:r>
    </w:p>
    <w:p>
      <w:pPr>
        <w:pStyle w:val="ListNumber"/>
      </w:pPr>
      <w:r>
        <w:rPr>
          <w:color w:val="0066CC"/>
          <w:sz w:val="20"/>
        </w:rPr>
        <w:t>[Video 2: In_03_01.mp4]</w:t>
      </w:r>
    </w:p>
    <w:p>
      <w:pPr>
        <w:pStyle w:val="ListNumber"/>
      </w:pPr>
      <w:r>
        <w:rPr>
          <w:color w:val="0066CC"/>
          <w:sz w:val="20"/>
        </w:rPr>
        <w:t>[Video 3: In_04_01.mp4]</w:t>
      </w:r>
    </w:p>
    <w:p>
      <w:pPr>
        <w:pStyle w:val="ListNumber"/>
      </w:pPr>
      <w:r>
        <w:rPr>
          <w:color w:val="0066CC"/>
          <w:sz w:val="20"/>
        </w:rPr>
        <w:t>[Video 4: In_05_01.mp4]</w:t>
      </w:r>
    </w:p>
    <w:p>
      <w:pPr>
        <w:pStyle w:val="ListNumber"/>
      </w:pPr>
      <w:r>
        <w:rPr>
          <w:color w:val="0066CC"/>
          <w:sz w:val="20"/>
        </w:rPr>
        <w:t>[Video 5: In_06_01.mp4]</w:t>
      </w:r>
    </w:p>
    <w:p>
      <w:pPr>
        <w:pStyle w:val="ListNumber"/>
      </w:pPr>
      <w:r>
        <w:rPr>
          <w:color w:val="0066CC"/>
          <w:sz w:val="20"/>
        </w:rPr>
        <w:t>[Video 6: In_07_01.mp4]</w:t>
      </w:r>
    </w:p>
    <w:p>
      <w:pPr>
        <w:pStyle w:val="ListNumber"/>
      </w:pPr>
      <w:r>
        <w:rPr>
          <w:color w:val="0066CC"/>
          <w:sz w:val="20"/>
        </w:rPr>
        <w:t>[Video 7: In_08_01.mp4]</w:t>
      </w:r>
    </w:p>
    <w:p>
      <w:pPr>
        <w:pStyle w:val="ListNumber"/>
      </w:pPr>
      <w:r>
        <w:rPr>
          <w:color w:val="0066CC"/>
          <w:sz w:val="20"/>
        </w:rPr>
        <w:t>[Video 8: In_09_01.mp4]</w:t>
      </w:r>
    </w:p>
    <w:p>
      <w:pPr>
        <w:pStyle w:val="ListNumber"/>
      </w:pPr>
      <w:r>
        <w:rPr>
          <w:color w:val="0066CC"/>
          <w:sz w:val="20"/>
        </w:rPr>
        <w:t>[Video 9: In_09_02.mp4]</w:t>
      </w:r>
    </w:p>
    <w:p>
      <w:pPr>
        <w:pStyle w:val="ListNumber"/>
      </w:pPr>
      <w:r>
        <w:rPr>
          <w:color w:val="0066CC"/>
          <w:sz w:val="20"/>
        </w:rPr>
        <w:t>[Video 10: In_10_01.mp4]</w:t>
      </w:r>
    </w:p>
    <w:p>
      <w:pPr>
        <w:pStyle w:val="ListNumber"/>
      </w:pPr>
      <w:r>
        <w:rPr>
          <w:color w:val="0066CC"/>
          <w:sz w:val="20"/>
        </w:rPr>
        <w:t>[Video 11: In_11_01.mp4]</w:t>
      </w:r>
    </w:p>
    <w:p>
      <w:pPr>
        <w:pStyle w:val="ListNumber"/>
      </w:pPr>
      <w:r>
        <w:rPr>
          <w:color w:val="0066CC"/>
          <w:sz w:val="20"/>
        </w:rPr>
        <w:t>[Video 12: In_12_01.mp4]</w:t>
      </w:r>
    </w:p>
    <w:p>
      <w:pPr>
        <w:pStyle w:val="ListNumber"/>
      </w:pPr>
      <w:r>
        <w:rPr>
          <w:color w:val="0066CC"/>
          <w:sz w:val="20"/>
        </w:rPr>
        <w:t>[Video 13: In_13_01.mp4]</w:t>
      </w:r>
    </w:p>
    <w:p>
      <w:pPr>
        <w:pStyle w:val="ListNumber"/>
      </w:pPr>
      <w:r>
        <w:rPr>
          <w:color w:val="0066CC"/>
          <w:sz w:val="20"/>
        </w:rPr>
        <w:t>[Video 14: In_14_01.mp4]</w:t>
      </w:r>
    </w:p>
    <w:p>
      <w:pPr>
        <w:pStyle w:val="ListNumber"/>
      </w:pPr>
      <w:r>
        <w:rPr>
          <w:color w:val="0066CC"/>
          <w:sz w:val="20"/>
        </w:rPr>
        <w:t>[Video 15: In_15_01.mp4]</w:t>
      </w:r>
    </w:p>
    <w:p>
      <w:pPr>
        <w:pStyle w:val="ListNumber"/>
      </w:pPr>
      <w:r>
        <w:rPr>
          <w:color w:val="0066CC"/>
          <w:sz w:val="20"/>
        </w:rPr>
        <w:t>[Video 16: In_16_01.mp4]</w:t>
      </w:r>
    </w:p>
    <w:p>
      <w:pPr>
        <w:pStyle w:val="ListNumber"/>
      </w:pPr>
      <w:r>
        <w:rPr>
          <w:color w:val="0066CC"/>
          <w:sz w:val="20"/>
        </w:rPr>
        <w:t>[Video 17: In_17_01.mp4]</w:t>
      </w:r>
    </w:p>
    <w:p>
      <w:pPr>
        <w:pStyle w:val="ListNumber"/>
      </w:pPr>
      <w:r>
        <w:rPr>
          <w:color w:val="0066CC"/>
          <w:sz w:val="20"/>
        </w:rPr>
        <w:t>[Video 18: In_18_01.mp4]</w:t>
      </w:r>
    </w:p>
    <w:p>
      <w:pPr>
        <w:pStyle w:val="ListNumber"/>
      </w:pPr>
      <w:r>
        <w:rPr>
          <w:color w:val="0066CC"/>
          <w:sz w:val="20"/>
        </w:rPr>
        <w:t>[Video 19: In_19_01.mp4]</w:t>
      </w:r>
    </w:p>
    <w:p/>
    <w:p>
      <w:pPr>
        <w:pStyle w:val="Heading2"/>
      </w:pPr>
      <w:r>
        <w:t>Slide Content</w:t>
      </w:r>
    </w:p>
    <w:p>
      <w:pPr>
        <w:pStyle w:val="Heading3"/>
      </w:pPr>
      <w:r>
        <w:rPr>
          <w:sz w:val="24"/>
        </w:rPr>
        <w:t>Slide 1/37: (Untitled)</w:t>
      </w:r>
    </w:p>
    <w:p>
      <w:r>
        <w:rPr>
          <w:i/>
          <w:color w:val="888888"/>
        </w:rPr>
        <w:t>[Image placeholder]</w:t>
      </w:r>
    </w:p>
    <w:p>
      <w:pPr>
        <w:pStyle w:val="Heading3"/>
      </w:pPr>
      <w:r>
        <w:rPr>
          <w:sz w:val="24"/>
        </w:rPr>
        <w:t>Slide 2/37: (Untitled)</w:t>
      </w:r>
    </w:p>
    <w:p>
      <w:r>
        <w:rPr>
          <w:i/>
          <w:color w:val="888888"/>
        </w:rPr>
        <w:t>[Image placeholder]</w:t>
      </w:r>
    </w:p>
    <w:p>
      <w:pPr>
        <w:pStyle w:val="Heading3"/>
      </w:pPr>
      <w:r>
        <w:rPr>
          <w:sz w:val="24"/>
        </w:rPr>
        <w:t>Slide 3/37: (Untitled)</w:t>
      </w:r>
    </w:p>
    <w:p>
      <w:r>
        <w:rPr>
          <w:i/>
          <w:color w:val="888888"/>
        </w:rPr>
        <w:t>[Image placeholder]</w:t>
      </w:r>
    </w:p>
    <w:p>
      <w:pPr>
        <w:pStyle w:val="Heading3"/>
      </w:pPr>
      <w:r>
        <w:rPr>
          <w:sz w:val="24"/>
        </w:rPr>
        <w:t>Slide 4/37: (Untitled)</w:t>
      </w:r>
    </w:p>
    <w:p>
      <w:r>
        <w:rPr>
          <w:i/>
          <w:color w:val="888888"/>
        </w:rPr>
        <w:t>[Image placeholder]</w:t>
      </w:r>
    </w:p>
    <w:p>
      <w:pPr>
        <w:spacing w:before="80" w:after="80"/>
        <w:shd w:fill="E8E8E8" w:val="clear"/>
      </w:pPr>
      <w:r>
        <w:rPr>
          <w:i/>
          <w:color w:val="444444"/>
          <w:sz w:val="18"/>
        </w:rPr>
        <w:t>Speaker Notes: Guidewire servers and messaging transactions</w:t>
        <w:br/>
        <w:t>The servers involved at each point of the process are important because they determine where payload work should occur. The majority of payload generation should be done in Event Fired rules on the ui role server that manages the given user's session.  However, if some portion of payload generation must be done immediately before the message is sent, that portion of the payload can be generated on the messaging role server.</w:t>
        <w:br/>
        <w:br/>
        <w:t>A message is always processed in at least two and as many as four transactions:</w:t>
        <w:br/>
        <w:t>Transaction 1 — Creates the message and generates the payload.  This transaction always occurs-</w:t>
        <w:br/>
        <w:t>Transaction 2 — Prior to sending the message, an optional transaction may transform the message payload. This is usually done when the message must include information that can only be known immediately before sending the message.</w:t>
        <w:br/>
        <w:t>Transaction 3 — The sending of the message to the external system occurs in its own transaction- This transaction always occurs.  If the external system acknowledges the message synchronously,  then the acknowledges is included in this transaction.</w:t>
        <w:br/>
        <w:t>Transaction 4 — If the external system acknowledges the message asynchronously,  then a separate transaction processes the acknowledgement. This transaction does not occur for messages that are acknowledged synchronously.</w:t>
        <w:br/>
        <w:br/>
        <w:t>The transaction structure is important because this determines the work that is rolled back if an error occurs-</w:t>
      </w:r>
    </w:p>
    <w:p>
      <w:pPr>
        <w:pStyle w:val="Heading3"/>
      </w:pPr>
      <w:r>
        <w:rPr>
          <w:sz w:val="24"/>
        </w:rPr>
        <w:t>Slide 5/37: (Untitled)</w:t>
      </w:r>
    </w:p>
    <w:p>
      <w:r>
        <w:rPr>
          <w:i/>
          <w:color w:val="888888"/>
        </w:rPr>
        <w:t>[Image placeholder]</w:t>
      </w:r>
    </w:p>
    <w:p>
      <w:pPr>
        <w:pStyle w:val="Heading3"/>
      </w:pPr>
      <w:r>
        <w:rPr>
          <w:sz w:val="24"/>
        </w:rPr>
        <w:t>Slide 6/37: (Untitled)</w:t>
      </w:r>
    </w:p>
    <w:p>
      <w:r>
        <w:rPr>
          <w:i/>
          <w:color w:val="888888"/>
        </w:rPr>
        <w:t>[Image placeholder]</w:t>
      </w:r>
    </w:p>
    <w:p>
      <w:pPr>
        <w:spacing w:before="80" w:after="80"/>
        <w:shd w:fill="E8E8E8" w:val="clear"/>
      </w:pPr>
      <w:r>
        <w:rPr>
          <w:i/>
          <w:color w:val="444444"/>
          <w:sz w:val="18"/>
        </w:rPr>
        <w:t>Speaker Notes: Message transport plugin</w:t>
        <w:br/>
        <w:t>Communication with the extemal system may use any type of connectivity or transport, including some not normally considered messaging, such as:</w:t>
        <w:br/>
        <w:t>File-based, shared database</w:t>
        <w:br/>
        <w:t>Raw socket (TCP/IP)</w:t>
        <w:br/>
        <w:t>FTP</w:t>
        <w:br/>
        <w:t>Email</w:t>
        <w:br/>
        <w:t>Synchronous invocations, such as RMI/JRMP, RMI/IIOP, and SOAR</w:t>
        <w:br/>
        <w:t>Asynchronous, message- based transports, such as JMS, native WebSphere MQ, or SOAP/JMS.</w:t>
        <w:br/>
        <w:br/>
        <w:t>A message transport plugin can optionally implement the InitializablePlugin interface, which adds the set Parameters property to the plugin.</w:t>
      </w:r>
    </w:p>
    <w:p>
      <w:pPr>
        <w:pStyle w:val="Heading3"/>
      </w:pPr>
      <w:r>
        <w:rPr>
          <w:sz w:val="24"/>
        </w:rPr>
        <w:t>Slide 7/37: (Untitled)</w:t>
      </w:r>
    </w:p>
    <w:p>
      <w:r>
        <w:rPr>
          <w:i/>
          <w:color w:val="888888"/>
        </w:rPr>
        <w:t>[Image placeholder]</w:t>
      </w:r>
    </w:p>
    <w:p>
      <w:pPr>
        <w:spacing w:before="80" w:after="80"/>
        <w:shd w:fill="E8E8E8" w:val="clear"/>
      </w:pPr>
      <w:r>
        <w:rPr>
          <w:i/>
          <w:color w:val="444444"/>
          <w:sz w:val="18"/>
        </w:rPr>
        <w:t>Speaker Notes: Create a message transport plugin class</w:t>
        <w:br/>
        <w:t>Code example</w:t>
        <w:br/>
        <w:t>Line 6</w:t>
        <w:br/>
        <w:t>Implement the Message Transport interface.</w:t>
        <w:br/>
        <w:t>Mes.sage entity instance is in transaction 3 scope.</w:t>
        <w:br/>
        <w:t>Line 8</w:t>
        <w:br/>
        <w:t>Create class variable</w:t>
        <w:br/>
        <w:t>Lines 13-14</w:t>
        <w:br/>
        <w:t>Method annotations added.</w:t>
        <w:br/>
        <w:t>Line 15</w:t>
        <w:br/>
        <w:t>Must override send method.</w:t>
        <w:br/>
        <w:t>Passed the Message object and transformed payload.</w:t>
        <w:br/>
        <w:br/>
        <w:t>Best practice:</w:t>
        <w:br/>
        <w:t>Pre-update rules and validation logic are NOT triggered from data changes made in send method</w:t>
        <w:br/>
        <w:t>Each send method should send the message to only one external system.</w:t>
        <w:br/>
        <w:t>If a message is sent to multiple systems, then there is no way to clearly track the post-send status of the message.</w:t>
      </w:r>
    </w:p>
    <w:p>
      <w:pPr>
        <w:pStyle w:val="Heading3"/>
      </w:pPr>
      <w:r>
        <w:rPr>
          <w:sz w:val="24"/>
        </w:rPr>
        <w:t>Slide 8/37: (Untitled)</w:t>
      </w:r>
    </w:p>
    <w:p>
      <w:r>
        <w:rPr>
          <w:i/>
          <w:color w:val="888888"/>
        </w:rPr>
        <w:t>[Image placeholder]</w:t>
      </w:r>
    </w:p>
    <w:p>
      <w:pPr>
        <w:spacing w:before="80" w:after="80"/>
        <w:shd w:fill="E8E8E8" w:val="clear"/>
      </w:pPr>
      <w:r>
        <w:rPr>
          <w:i/>
          <w:color w:val="444444"/>
          <w:sz w:val="18"/>
        </w:rPr>
        <w:t>Speaker Notes: Implement destination plugin methods</w:t>
        <w:br/>
        <w:t>resume, suspend, and shutdown methods</w:t>
        <w:br/>
        <w:t>Are called by the application when the destination is resumed, suspended, or the server shuts down. Plugins should acquire or release external resources at these times- For example,  a plugin may need to create or close JMS or JDBC connections, JMS Sessions, sockets, and so on.</w:t>
        <w:br/>
        <w:t>Typically, these methods are empty in a request plugin. In a production environment, they should be implemented for transport and reply plugins.</w:t>
        <w:br/>
        <w:t>The plugin should throw a Guidewire InitializationException (gw.plugin.messaging-lnitializationException) from resume if the resources have not initialized successfully. (A manual resume could be attempted later and may be successful.)</w:t>
        <w:br/>
        <w:br/>
        <w:t>set DestinationlD property</w:t>
        <w:br/>
        <w:t>Is not related to how a message is suspended or resumed.</w:t>
        <w:br/>
        <w:t>It allows your destination to get its own destination ID to store it in a private variable. Your code can use the stored destination ID value for logging messages or send it to integration systems so that they can programmatically suspend/resume the destination if necessary- Keep in mind that the valid range for your destination IDs is 0 through 63, inclusive-</w:t>
        <w:br/>
        <w:t>Guidewire reserves all other destination IDs for built-in destinations, such as the email transport destination.</w:t>
      </w:r>
    </w:p>
    <w:p>
      <w:pPr>
        <w:pStyle w:val="Heading3"/>
      </w:pPr>
      <w:r>
        <w:rPr>
          <w:sz w:val="24"/>
        </w:rPr>
        <w:t>Slide 9/37: (Untitled)</w:t>
      </w:r>
    </w:p>
    <w:p>
      <w:r>
        <w:rPr>
          <w:i/>
          <w:color w:val="888888"/>
        </w:rPr>
        <w:t>[Image placeholder]</w:t>
      </w:r>
    </w:p>
    <w:p>
      <w:pPr>
        <w:spacing w:before="80" w:after="80"/>
        <w:shd w:fill="E8E8E8" w:val="clear"/>
      </w:pPr>
      <w:r>
        <w:rPr>
          <w:i/>
          <w:color w:val="444444"/>
          <w:sz w:val="18"/>
        </w:rPr>
        <w:t>Speaker Notes: resume and suspend methods example</w:t>
        <w:br/>
        <w:t>Code example</w:t>
        <w:br/>
        <w:t>Line 54</w:t>
        <w:br/>
        <w:t>Create external web service object.</w:t>
        <w:br/>
        <w:t>Lines 55-57</w:t>
        <w:br/>
        <w:t>Configure API authentication parameters.</w:t>
        <w:br/>
        <w:t>Specify CallTimeout property to prevent endlessly waiting for a server response.</w:t>
        <w:br/>
        <w:t>Line 69</w:t>
        <w:br/>
        <w:t>Release external web service object.</w:t>
        <w:br/>
        <w:br/>
        <w:t>Q: Shouldn't we add code to the shutdown method as well?</w:t>
        <w:br/>
        <w:t>A: You can call suspend from shutdown - It doesn’t really matter though as the Java garbage collector will delete the object anyway.</w:t>
      </w:r>
    </w:p>
    <w:p>
      <w:pPr>
        <w:pStyle w:val="Heading3"/>
      </w:pPr>
      <w:r>
        <w:rPr>
          <w:sz w:val="24"/>
        </w:rPr>
        <w:t>Slide 10/37: (Untitled)</w:t>
      </w:r>
    </w:p>
    <w:p>
      <w:r>
        <w:rPr>
          <w:i/>
          <w:color w:val="888888"/>
        </w:rPr>
        <w:t>[Image placeholder]</w:t>
      </w:r>
    </w:p>
    <w:p>
      <w:pPr>
        <w:spacing w:before="80" w:after="80"/>
        <w:shd w:fill="E8E8E8" w:val="clear"/>
      </w:pPr>
      <w:r>
        <w:rPr>
          <w:i/>
          <w:color w:val="444444"/>
          <w:sz w:val="18"/>
        </w:rPr>
        <w:t>Speaker Notes: Send payload to web service example</w:t>
        <w:br/>
        <w:t>Code example</w:t>
        <w:br/>
        <w:t>Line 19</w:t>
        <w:br/>
        <w:t>Send payload to the external system.</w:t>
        <w:br/>
        <w:t>Messages are acknowledged synchronously by ExternalApp.</w:t>
      </w:r>
    </w:p>
    <w:p>
      <w:pPr>
        <w:pStyle w:val="Heading3"/>
      </w:pPr>
      <w:r>
        <w:rPr>
          <w:sz w:val="24"/>
        </w:rPr>
        <w:t>Slide 11/37: (Untitled)</w:t>
      </w:r>
    </w:p>
    <w:p>
      <w:r>
        <w:rPr>
          <w:i/>
          <w:color w:val="888888"/>
        </w:rPr>
        <w:t>[Image placeholder]</w:t>
      </w:r>
    </w:p>
    <w:p>
      <w:pPr>
        <w:spacing w:before="80" w:after="80"/>
        <w:shd w:fill="E8E8E8" w:val="clear"/>
      </w:pPr>
      <w:r>
        <w:rPr>
          <w:i/>
          <w:color w:val="444444"/>
          <w:sz w:val="18"/>
        </w:rPr>
        <w:t>Speaker Notes: Send payload to file example</w:t>
        <w:br/>
        <w:t>Code example</w:t>
        <w:br/>
        <w:t>Line 40</w:t>
        <w:br/>
        <w:t>Text file created.</w:t>
        <w:br/>
        <w:t>Line 41</w:t>
        <w:br/>
        <w:t>Creates a buffered character- output stream that uses a default-sized output buffer.</w:t>
        <w:br/>
        <w:t>Line 42</w:t>
        <w:br/>
        <w:t>Writes the transformedPayload string.</w:t>
        <w:br/>
        <w:t>Line 43</w:t>
        <w:br/>
        <w:t>Closes the stream, flushing it first.</w:t>
      </w:r>
    </w:p>
    <w:p>
      <w:pPr>
        <w:pStyle w:val="Heading3"/>
      </w:pPr>
      <w:r>
        <w:rPr>
          <w:sz w:val="24"/>
        </w:rPr>
        <w:t>Slide 12/37: (Untitled)</w:t>
      </w:r>
    </w:p>
    <w:p>
      <w:r>
        <w:rPr>
          <w:i/>
          <w:color w:val="888888"/>
        </w:rPr>
        <w:t>[Image placeholder]</w:t>
      </w:r>
    </w:p>
    <w:p>
      <w:pPr>
        <w:pStyle w:val="Heading3"/>
      </w:pPr>
      <w:r>
        <w:rPr>
          <w:sz w:val="24"/>
        </w:rPr>
        <w:t>Slide 13/37: (Untitled)</w:t>
      </w:r>
    </w:p>
    <w:p>
      <w:r>
        <w:rPr>
          <w:i/>
          <w:color w:val="888888"/>
        </w:rPr>
        <w:t>[Image placeholder]</w:t>
      </w:r>
    </w:p>
    <w:p>
      <w:pPr>
        <w:spacing w:before="80" w:after="80"/>
        <w:shd w:fill="E8E8E8" w:val="clear"/>
      </w:pPr>
      <w:r>
        <w:rPr>
          <w:i/>
          <w:color w:val="444444"/>
          <w:sz w:val="18"/>
        </w:rPr>
        <w:t>Speaker Notes: Configure the plugin</w:t>
        <w:br/>
        <w:t>This plugin does not implement parameters.</w:t>
      </w:r>
    </w:p>
    <w:p>
      <w:pPr>
        <w:pStyle w:val="Heading3"/>
      </w:pPr>
      <w:r>
        <w:rPr>
          <w:sz w:val="24"/>
        </w:rPr>
        <w:t>Slide 14/37: (Untitled)</w:t>
      </w:r>
    </w:p>
    <w:p>
      <w:r>
        <w:rPr>
          <w:i/>
          <w:color w:val="888888"/>
        </w:rPr>
        <w:t>[Image placeholder]</w:t>
      </w:r>
    </w:p>
    <w:p>
      <w:pPr>
        <w:spacing w:before="80" w:after="80"/>
        <w:shd w:fill="E8E8E8" w:val="clear"/>
      </w:pPr>
      <w:r>
        <w:rPr>
          <w:i/>
          <w:color w:val="444444"/>
          <w:sz w:val="18"/>
        </w:rPr>
        <w:t>Speaker Notes: Configure the destination</w:t>
        <w:br/>
        <w:t>For pre-defined plugins (such as authentication), you can implement only one version of each plugin at a time. For messaging plugins, you can implement any number of MessageRequest, MessageTransport, and MessageReply plugins.</w:t>
        <w:br/>
        <w:br/>
        <w:t>Every destination can use only one message transport plugin.</w:t>
      </w:r>
    </w:p>
    <w:p>
      <w:pPr>
        <w:pStyle w:val="Heading3"/>
      </w:pPr>
      <w:r>
        <w:rPr>
          <w:sz w:val="24"/>
        </w:rPr>
        <w:t>Slide 15/37: (Untitled)</w:t>
      </w:r>
    </w:p>
    <w:p>
      <w:r>
        <w:rPr>
          <w:i/>
          <w:color w:val="888888"/>
        </w:rPr>
        <w:t>[Image placeholder]</w:t>
      </w:r>
    </w:p>
    <w:p>
      <w:pPr>
        <w:spacing w:before="80" w:after="80"/>
        <w:shd w:fill="E8E8E8" w:val="clear"/>
      </w:pPr>
      <w:r>
        <w:rPr>
          <w:i/>
          <w:color w:val="444444"/>
          <w:sz w:val="18"/>
        </w:rPr>
        <w:t>Speaker Notes: Deploy code changes</w:t>
        <w:br/>
        <w:t>You can restart the server from Studio by stopping a running server and after the server stops, then starting the server again in either Run or Debug mode  (preferred for training).</w:t>
      </w:r>
    </w:p>
    <w:p>
      <w:pPr>
        <w:pStyle w:val="Heading3"/>
      </w:pPr>
      <w:r>
        <w:rPr>
          <w:sz w:val="24"/>
        </w:rPr>
        <w:t>Slide 16/37: (Untitled)</w:t>
      </w:r>
    </w:p>
    <w:p>
      <w:r>
        <w:rPr>
          <w:i/>
          <w:color w:val="888888"/>
        </w:rPr>
        <w:t>[Image placeholder]</w:t>
      </w:r>
    </w:p>
    <w:p>
      <w:pPr>
        <w:pStyle w:val="Heading3"/>
      </w:pPr>
      <w:r>
        <w:rPr>
          <w:sz w:val="24"/>
        </w:rPr>
        <w:t>Slide 17/37: (Untitled)</w:t>
      </w:r>
    </w:p>
    <w:p>
      <w:r>
        <w:rPr>
          <w:i/>
          <w:color w:val="888888"/>
        </w:rPr>
        <w:t>[Image placeholder]</w:t>
      </w:r>
    </w:p>
    <w:p>
      <w:pPr>
        <w:pStyle w:val="Heading3"/>
      </w:pPr>
      <w:r>
        <w:rPr>
          <w:sz w:val="24"/>
        </w:rPr>
        <w:t>Slide 18/37: (Untitled)</w:t>
      </w:r>
    </w:p>
    <w:p>
      <w:r>
        <w:rPr>
          <w:i/>
          <w:color w:val="888888"/>
        </w:rPr>
        <w:t>[Image placeholder]</w:t>
      </w:r>
    </w:p>
    <w:p>
      <w:pPr>
        <w:spacing w:before="80" w:after="80"/>
        <w:shd w:fill="E8E8E8" w:val="clear"/>
      </w:pPr>
      <w:r>
        <w:rPr>
          <w:i/>
          <w:color w:val="444444"/>
          <w:sz w:val="18"/>
        </w:rPr>
        <w:t>Speaker Notes: Safe ordering</w:t>
        <w:br/>
        <w:t>Safe ordering allows Guidewire to send messages as soon as possible, and yet prevents errors that might occur if related messages were processed out of order.</w:t>
        <w:br/>
        <w:br/>
        <w:t>Safe ordering is not a simple first- in first-out order (FIFO). Messages are sent based on the order in which they must be received by the external system, which may or may not be identical to the order in which they were created in Event Fired rules.</w:t>
        <w:br/>
        <w:br/>
        <w:t>This feature has large implications for messaging performance. Only one message can be in flight for each entity/destination pair. If the send queue contains 10 messages associated with different claims/accounts/contacts/producers, Guidewire can send all these safe-ordered messages immediately. However, if the send queue contains 10 safe-ordered messages for the same claim/account/contact/producer, Guidewire can send only one. Guidewire must wait for the message acknowledgement, and then at that point can send the next message, but once again can send only one.</w:t>
      </w:r>
    </w:p>
    <w:p>
      <w:pPr>
        <w:pStyle w:val="Heading3"/>
      </w:pPr>
      <w:r>
        <w:rPr>
          <w:sz w:val="24"/>
        </w:rPr>
        <w:t>Slide 19/37: (Untitled)</w:t>
      </w:r>
    </w:p>
    <w:p>
      <w:r>
        <w:rPr>
          <w:i/>
          <w:color w:val="888888"/>
        </w:rPr>
        <w:t>[Image placeholder]</w:t>
      </w:r>
    </w:p>
    <w:p>
      <w:pPr>
        <w:spacing w:before="80" w:after="80"/>
        <w:shd w:fill="E8E8E8" w:val="clear"/>
      </w:pPr>
      <w:r>
        <w:rPr>
          <w:i/>
          <w:color w:val="444444"/>
          <w:sz w:val="18"/>
        </w:rPr>
        <w:t>Speaker Notes: Default ordering and sending behavior</w:t>
        <w:br/>
        <w:t>The example above represents a single destination with six messages:</w:t>
        <w:br/>
        <w:t>Two messages apply to regions.</w:t>
        <w:br/>
        <w:t>Two messages apply to account B.</w:t>
        <w:br/>
        <w:t>Two messages apply to account D.</w:t>
        <w:br/>
        <w:t>The time each message was created is also listed, and the messages appear in the order in which they were created.</w:t>
        <w:br/>
        <w:br/>
        <w:t>First, Guidewire sends all the non-safe ordered messages. This is because non-safe ordered messages usually relate to administrative data that may be referenced by many other messages- Non- safe ordered messages are sent in the order they are created. (Therefore, the region A message is sent first, as it was created at 10:01- The region C message is sent second.) All non-safe ordered messages are sent immediately- Guidewire does not wait for any acknowledgement from the external system.</w:t>
        <w:br/>
        <w:br/>
        <w:t>Next, Guidewire sends all the safe-ordered messages. As much as possible, safe- ordered messages are sent in the order that they are created. But, Guidewire sends only one message for a given entity/destination pair at a time. So, the send time of later messages for a given entity/destination pair depends upon when acknowledgement is received for earlier messages in that entity/destination pair- (Therefore, the account B added message is sent third. The account B changed message cannot be sent until the account B added message is acknowledged- Assuming there is no immediate acknowledgement of the message, the account D added message is sent fourth. The order and timing of the account B changed and account D changed messages is unknown because the sending of these messages depends upon the acknowledgement of the corresponding account added messages.)</w:t>
        <w:br/>
        <w:br/>
        <w:t>Strict mode Destinations have an option known as "strict mode". Bydefault, it is turned off Checking the destination’  "Strict mode" turns it on.</w:t>
        <w:br/>
        <w:br/>
        <w:t>When a destination is in strict mode:</w:t>
        <w:br/>
        <w:t>Non-safe-ordered messages are sent one at a time- The next non-safe ordered message is not sent until the previous non-safe ordered message is acknowledged-</w:t>
        <w:br/>
        <w:t>Safe-ordered messages are not sent until all non- safe-ordered messages have been sent and acknowledged.</w:t>
        <w:br/>
        <w:t>This option is intended solely for destinations that send messages for multiple types of entities, and the order in which those messages are sent affects the external system's ability to understand them. Strict mode should be used cautiously, as it potentially affects the through-put of the destination because a single non-safe- ordered message that does not receive a positive acknowledgement will prevent the destination from sending further messages.</w:t>
      </w:r>
    </w:p>
    <w:p>
      <w:pPr>
        <w:pStyle w:val="Heading3"/>
      </w:pPr>
      <w:r>
        <w:rPr>
          <w:sz w:val="24"/>
        </w:rPr>
        <w:t>Slide 20/37: (Untitled)</w:t>
      </w:r>
    </w:p>
    <w:p>
      <w:r>
        <w:rPr>
          <w:i/>
          <w:color w:val="888888"/>
        </w:rPr>
        <w:t>[Image placeholder]</w:t>
      </w:r>
    </w:p>
    <w:p>
      <w:pPr>
        <w:spacing w:before="80" w:after="80"/>
        <w:shd w:fill="E8E8E8" w:val="clear"/>
      </w:pPr>
      <w:r>
        <w:rPr>
          <w:i/>
          <w:color w:val="444444"/>
          <w:sz w:val="18"/>
        </w:rPr>
        <w:t>Speaker Notes: InsuranceSuite safe ordering</w:t>
        <w:br/>
        <w:t>For most destinations, the default safe ordering behavior of the primary entity (CC- Claim, PC-Account) is appropriate. However, some destinations may represent integration points to a contact management system such as Guidewire ContactManager. For these integration points, each message may pertain to only one contact, and there are no issues around sending multiple messages for thesame claim/account at the same time provided that each message pertains to a different contact. For these destinations, you can define that safe ordering should be enforced at the Contact level.  This means a given claim may have multiple messages in flight, but it will never have more than one message in flight for any given contact.</w:t>
        <w:br/>
        <w:t>ClaimCenter and PolicyCenter</w:t>
        <w:br/>
        <w:t>To configure a destination to do safe ordering at the Contact level, select Contact in the Alternative Primary Entity field. Contact is the only alternative primary entity in ClaimCenter and PolicyCenter.</w:t>
        <w:br/>
        <w:br/>
        <w:t>BillingCenter</w:t>
        <w:br/>
        <w:t>Unlike ClaimCenter (where most business information is owned uniquely by a claim) or PolicyCenter (where most business information is owned uniquely by an account), BillingCenter does not have a single entity whose instances uniquely own most of the business information. Therefore, BillingCenter does not have a single entity that is the default safe-ordered entity- The default is not to use safe ordering, and safe ordering must be enabled for eachdestination with the appropriate entity. Because safe ordering reduces the likelihood of errors on the external system and can increase performance, the best practice is to enable safe ordering for every destination that can make use of it. To configure a destination to do safe ordering, select the appropriate entity type (Account, Contact, PolicyPeriod, or Producer) in the Alternative Primary Entity field.</w:t>
      </w:r>
    </w:p>
    <w:p>
      <w:pPr>
        <w:pStyle w:val="Heading3"/>
      </w:pPr>
      <w:r>
        <w:rPr>
          <w:sz w:val="24"/>
        </w:rPr>
        <w:t>Slide 21/37: (Untitled)</w:t>
      </w:r>
    </w:p>
    <w:p>
      <w:r>
        <w:rPr>
          <w:i/>
          <w:color w:val="888888"/>
        </w:rPr>
        <w:t>[Image placeholder]</w:t>
      </w:r>
    </w:p>
    <w:p>
      <w:pPr>
        <w:spacing w:before="80" w:after="80"/>
        <w:shd w:fill="E8E8E8" w:val="clear"/>
      </w:pPr>
      <w:r>
        <w:rPr>
          <w:i/>
          <w:color w:val="444444"/>
          <w:sz w:val="18"/>
        </w:rPr>
        <w:t>Speaker Notes: ContactManager safe ordering</w:t>
        <w:br/>
        <w:t>Safe ordering is a messaging feature that causes related messages to send in the same order they were sent. This is called safe order. For each messaging destination, the application groups messages by their associated primary object. For important definitions relevant to this topic, see Primary Entity and Primary Object in the product documentation.</w:t>
      </w:r>
    </w:p>
    <w:p>
      <w:pPr>
        <w:pStyle w:val="Heading3"/>
      </w:pPr>
      <w:r>
        <w:rPr>
          <w:sz w:val="24"/>
        </w:rPr>
        <w:t>Slide 22/37: (Untitled)</w:t>
      </w:r>
    </w:p>
    <w:p>
      <w:r>
        <w:rPr>
          <w:i/>
          <w:color w:val="888888"/>
        </w:rPr>
        <w:t>[Image placeholder]</w:t>
      </w:r>
    </w:p>
    <w:p>
      <w:pPr>
        <w:spacing w:before="80" w:after="80"/>
        <w:shd w:fill="E8E8E8" w:val="clear"/>
      </w:pPr>
      <w:r>
        <w:rPr>
          <w:i/>
          <w:color w:val="444444"/>
          <w:sz w:val="18"/>
        </w:rPr>
        <w:t>Speaker Notes: Safe ordering demo in TrainingApp</w:t>
        <w:br/>
        <w:t>TrainingApp includes a safe ordering demo. Using this demo, you can select and change eitheran ABContact or a User. You can send a message with acknowledgement or without acknowledgement. Message activity is printed to the console. Using this demo, you can see that:</w:t>
        <w:br/>
        <w:t>If two messages are sent for the same ABContact (a safe- ordering entity), the second message is sent only if the first message is acknowledged.</w:t>
        <w:br/>
        <w:t>If two messages are sent for the same User (a non-safe-ordering entity), the secondmessage is always sent, regardless of the acknowledgement of the first message.</w:t>
        <w:br/>
        <w:t>The demo is located on the Administration tab's Training: Messaging - Safe Orderingscreen. Detailed instructions forhow to use the demo are alsoincluded. To view the instructions click the Display instructions link at the top of the detail view.</w:t>
      </w:r>
    </w:p>
    <w:p>
      <w:pPr>
        <w:pStyle w:val="Heading3"/>
      </w:pPr>
      <w:r>
        <w:rPr>
          <w:sz w:val="24"/>
        </w:rPr>
        <w:t>Slide 23/37: (Untitled)</w:t>
      </w:r>
    </w:p>
    <w:p>
      <w:r>
        <w:rPr>
          <w:i/>
          <w:color w:val="888888"/>
        </w:rPr>
        <w:t>[Image placeholder]</w:t>
      </w:r>
    </w:p>
    <w:p>
      <w:pPr>
        <w:pStyle w:val="Heading3"/>
      </w:pPr>
      <w:r>
        <w:rPr>
          <w:sz w:val="24"/>
        </w:rPr>
        <w:t>Slide 24/37: (Untitled)</w:t>
      </w:r>
    </w:p>
    <w:p>
      <w:r>
        <w:rPr>
          <w:i/>
          <w:color w:val="888888"/>
        </w:rPr>
        <w:t>[Image placeholder]</w:t>
      </w:r>
    </w:p>
    <w:p>
      <w:pPr>
        <w:spacing w:before="80" w:after="80"/>
        <w:shd w:fill="E8E8E8" w:val="clear"/>
      </w:pPr>
      <w:r>
        <w:rPr>
          <w:i/>
          <w:color w:val="444444"/>
          <w:sz w:val="18"/>
        </w:rPr>
        <w:t>Speaker Notes: Transport or Request plugin error</w:t>
        <w:br/>
        <w:t>An exception is handled differently than a reported error for a message- There are various types of exceptions such as a java. net.ConnectionException or</w:t>
        <w:br/>
        <w:t>gw-xml.ws.WsiAuthentication Exception.</w:t>
        <w:br/>
        <w:br/>
        <w:t>Sometimes a message transport plugin has a send error and expects it to be temporary, for example, the external system is not available. To support this common use case, if the message transport plugin throws an exception from its send method, the Guidewire application will retry to send the message after a specified amount of delay time, and will continue to retry sending the message multiple times.</w:t>
        <w:br/>
        <w:br/>
        <w:t>When an exception is thrown in the transport plugin send method, the Guidewire application automatic response is to retry sending the message until reaching the maximum number of retries. The message’s destination configuration defines the value for the maximum number of retries- When reaching the maximum</w:t>
        <w:br/>
        <w:t>number of retries, Guidewire suspends the destination.</w:t>
        <w:br/>
        <w:br/>
        <w:t xml:space="preserve">Destinations have specific parameters that impact how messages are retried- </w:t>
        <w:br/>
        <w:t>Initial Retry Interval — The amount of time in milliseconds after a retryable error to retry a sending a message.</w:t>
        <w:br/>
        <w:t xml:space="preserve">Max Retries — The number of automatic retries to attempt before suspending the messaging destination. </w:t>
        <w:br/>
        <w:t>Retry Backoff Multiplier — The amount to increase the time between retries,  specified as a multiplier of the time previously attempted- For example, if the last retry time attempted was 5 minutes, and the retry backoff multiplier is set to 2, the application attempts the next retry in 10 minutes.</w:t>
        <w:br/>
        <w:t>Shutdown Timeout — Messaging plugins have methods to handle the administrative commands suspend, resume, and preparing for the messaging system to shutdown. The shutdown timeout value is the length of time to wait before attempting to shutdown the messaging subsystem.</w:t>
      </w:r>
    </w:p>
    <w:p>
      <w:pPr>
        <w:pStyle w:val="Heading3"/>
      </w:pPr>
      <w:r>
        <w:rPr>
          <w:sz w:val="24"/>
        </w:rPr>
        <w:t>Slide 25/37: (Untitled)</w:t>
      </w:r>
    </w:p>
    <w:p>
      <w:r>
        <w:rPr>
          <w:i/>
          <w:color w:val="888888"/>
        </w:rPr>
        <w:t>[Image placeholder]</w:t>
      </w:r>
    </w:p>
    <w:p>
      <w:pPr>
        <w:spacing w:before="80" w:after="80"/>
        <w:shd w:fill="E8E8E8" w:val="clear"/>
      </w:pPr>
      <w:r>
        <w:rPr>
          <w:i/>
          <w:color w:val="444444"/>
          <w:sz w:val="18"/>
        </w:rPr>
        <w:t>Speaker Notes: Error administration</w:t>
        <w:br/>
        <w:t>A message causes the destination to be suspended when:</w:t>
        <w:br/>
        <w:t>The beforeSend or send method throws an exception, AND</w:t>
        <w:br/>
        <w:t>The message has reached the maximum retry limit</w:t>
        <w:br/>
        <w:br/>
        <w:t>In order for an additional messages to be processed for the messaging destination, you need to skip any messages reporting an error and to resume the suspended destination. An administrator can manually skip a message. It is also possible for custom code to skip messages, for example, from within a batch process. If a message is safe ordered, the next message for the destination/entity pair will not be sent until the message is either resent and successfully acknowledged or skipped.</w:t>
        <w:br/>
        <w:br/>
        <w:t>Messaging plugins have methods to suspend, resume, and shutdown the system. During the suspend, shutdown, and resumemethods of the plugin, the plugin must not call any APIs that suspend or resume messagingdestinations. This includes—but is not limited to— MessageToolsAPl web service APIs- Doing so creates circular application logic.</w:t>
      </w:r>
    </w:p>
    <w:p>
      <w:pPr>
        <w:pStyle w:val="Heading3"/>
      </w:pPr>
      <w:r>
        <w:rPr>
          <w:sz w:val="24"/>
        </w:rPr>
        <w:t>Slide 26/37: (Untitled)</w:t>
      </w:r>
    </w:p>
    <w:p>
      <w:r>
        <w:rPr>
          <w:i/>
          <w:color w:val="888888"/>
        </w:rPr>
        <w:t>[Image placeholder]</w:t>
      </w:r>
    </w:p>
    <w:p>
      <w:pPr>
        <w:spacing w:before="80" w:after="80"/>
        <w:shd w:fill="E8E8E8" w:val="clear"/>
      </w:pPr>
      <w:r>
        <w:rPr>
          <w:i/>
          <w:color w:val="444444"/>
          <w:sz w:val="18"/>
        </w:rPr>
        <w:t>Speaker Notes: Retry and skip messages</w:t>
        <w:br/>
        <w:t>Every Guidewire application has an Message Queues screen on the Administration tab. It is used to administer messages.</w:t>
        <w:br/>
        <w:t>To manually retry or skip a specific message:</w:t>
        <w:br/>
        <w:t xml:space="preserve">From the Message Queues screen, click the Destination name. </w:t>
        <w:br/>
        <w:t>From the Destination: &lt;Destination Name&gt; screen, click the appropriate link-</w:t>
        <w:br/>
        <w:t>If the destination has messages associated to non- safe-ordered entities, the screen will have a Non- safe-ordered messages link.</w:t>
        <w:br/>
        <w:t>If the destination has messages associated to safe- ordered entities, the screen will have a Safe-orderedmessages link for each safe-ordered entity.</w:t>
        <w:br/>
        <w:t>From the next screen, click the appropriate message or messages. Then, click Retry or Skip.</w:t>
        <w:br/>
        <w:t>To retry, the destination must have a status of Started.</w:t>
        <w:br/>
        <w:br/>
        <w:t>When you manually retry a message, Guidewire attempts to resend the message by calling the same methods as the first attempt: the beforeSend method (if a reply plugin has been implemented) and the send method. If the issue that caused the original problem has not been rectified, the message will cause another exception, and after the Max Retries has been exceeded, the destination will be suspended again. When you skip a message, the message is moved from the Message table to the MessageHistory table- The status of the message is set to "13" (skipped). Then the next message in its order (if there is one) can be sent. Note that skipping a message implies that the information that it was expected to carry to the external system is lost- When programming for messaging, care should be taken to avoid programming in such a way that large numbers of messages may be inadvertently skipped.</w:t>
      </w:r>
    </w:p>
    <w:p>
      <w:pPr>
        <w:pStyle w:val="Heading3"/>
      </w:pPr>
      <w:r>
        <w:rPr>
          <w:sz w:val="24"/>
        </w:rPr>
        <w:t>Slide 27/37: (Untitled)</w:t>
      </w:r>
    </w:p>
    <w:p>
      <w:r>
        <w:rPr>
          <w:i/>
          <w:color w:val="888888"/>
        </w:rPr>
        <w:t>[Image placeholder]</w:t>
      </w:r>
    </w:p>
    <w:p>
      <w:pPr>
        <w:spacing w:before="80" w:after="80"/>
        <w:shd w:fill="E8E8E8" w:val="clear"/>
      </w:pPr>
      <w:r>
        <w:rPr>
          <w:i/>
          <w:color w:val="444444"/>
          <w:sz w:val="18"/>
        </w:rPr>
        <w:t>Speaker Notes: Contrasting retry scenarios</w:t>
        <w:br/>
        <w:t>A message could be retried automatically during the sending of the message.During the sending of a message, a message has a status of "(1) Pending send". Guidewire automatically retries sending of a message when an exception is thrown in the beforeSend or send method. The message destination's Max Retries property determines the maximum number of retries- Because the message has not yet been sent, each attempt should use the sameSenderReflD because it is still the same message — each send attempt does not create a new message. The message request code should set the SenderReflD only if it is null. If a given message exceeds the maximum number of retries, the Guidewire application suspends the destination.The Guidewire application will not send any more messages for a suspended destination. You must resume the destination to remove the suspension.</w:t>
        <w:br/>
        <w:br/>
        <w:t>Note: If a message is sent successfully, but the external system replies with an error, then a NEW message is sent. The new message is a copyof the old message that generated the error at theexternal system- Since this isa NEW message, a new SenderReflD will be generated.</w:t>
        <w:br/>
        <w:br/>
        <w:t>A message could be retried manually.</w:t>
        <w:br/>
        <w:t>This occurs when a message requires manual intervention- This could be necessary for several reasons, such as a message that caused an exception during send where the situation has now been rectified, or a message whose payload needed to be modified manually, or a message for which the external system never provided a response. An administrator retries the message manually by selecting the message from one of the Message Administration screens and clicking the Retry button- There is no notion of maximum retries for a message retried manually.</w:t>
        <w:br/>
        <w:t>Note: A message could be retried automatically after the sending of the message.</w:t>
      </w:r>
    </w:p>
    <w:p>
      <w:pPr>
        <w:pStyle w:val="Heading3"/>
      </w:pPr>
      <w:r>
        <w:rPr>
          <w:sz w:val="24"/>
        </w:rPr>
        <w:t>Slide 28/37: (Untitled)</w:t>
      </w:r>
    </w:p>
    <w:p>
      <w:r>
        <w:rPr>
          <w:i/>
          <w:color w:val="888888"/>
        </w:rPr>
        <w:t>[Image placeholder]</w:t>
      </w:r>
    </w:p>
    <w:p>
      <w:pPr>
        <w:pStyle w:val="Heading3"/>
      </w:pPr>
      <w:r>
        <w:rPr>
          <w:sz w:val="24"/>
        </w:rPr>
        <w:t>Slide 29/37: (Untitled)</w:t>
      </w:r>
    </w:p>
    <w:p>
      <w:pPr>
        <w:pStyle w:val="Heading3"/>
      </w:pPr>
      <w:r>
        <w:rPr>
          <w:sz w:val="24"/>
        </w:rPr>
        <w:t>Slide 30/37: (Untitled)</w:t>
      </w:r>
    </w:p>
    <w:p>
      <w:r>
        <w:rPr>
          <w:i/>
          <w:color w:val="888888"/>
        </w:rPr>
        <w:t>[Image placeholder]</w:t>
      </w:r>
    </w:p>
    <w:p>
      <w:pPr>
        <w:pStyle w:val="Heading3"/>
      </w:pPr>
      <w:r>
        <w:rPr>
          <w:sz w:val="24"/>
        </w:rPr>
        <w:t>Slide 31/37: (Untitled)</w:t>
      </w:r>
    </w:p>
    <w:p>
      <w:r>
        <w:rPr>
          <w:i/>
          <w:color w:val="888888"/>
        </w:rPr>
        <w:t>[Image placeholder]</w:t>
      </w:r>
    </w:p>
    <w:p>
      <w:pPr>
        <w:pStyle w:val="Heading3"/>
      </w:pPr>
      <w:r>
        <w:rPr>
          <w:sz w:val="24"/>
        </w:rPr>
        <w:t>Slide 32/37: (Untitled)</w:t>
      </w:r>
    </w:p>
    <w:p>
      <w:r>
        <w:rPr>
          <w:i/>
          <w:color w:val="888888"/>
        </w:rPr>
        <w:t>[Image placeholder]</w:t>
      </w:r>
    </w:p>
    <w:p>
      <w:pPr>
        <w:pStyle w:val="Heading3"/>
      </w:pPr>
      <w:r>
        <w:rPr>
          <w:sz w:val="24"/>
        </w:rPr>
        <w:t>Slide 33/37: (Untitled)</w:t>
      </w:r>
    </w:p>
    <w:p>
      <w:r>
        <w:rPr>
          <w:i/>
          <w:color w:val="888888"/>
        </w:rPr>
        <w:t>[Image placeholder]</w:t>
      </w:r>
    </w:p>
    <w:p>
      <w:pPr>
        <w:pStyle w:val="Heading3"/>
      </w:pPr>
      <w:r>
        <w:rPr>
          <w:sz w:val="24"/>
        </w:rPr>
        <w:t>Slide 34/37: (Untitled)</w:t>
      </w:r>
    </w:p>
    <w:p>
      <w:r>
        <w:rPr>
          <w:i/>
          <w:color w:val="888888"/>
        </w:rPr>
        <w:t>[Image placeholder]</w:t>
      </w:r>
    </w:p>
    <w:p>
      <w:pPr>
        <w:pStyle w:val="Heading3"/>
      </w:pPr>
      <w:r>
        <w:rPr>
          <w:sz w:val="24"/>
        </w:rPr>
        <w:t>Slide 35/37: (Untitled)</w:t>
      </w:r>
    </w:p>
    <w:p>
      <w:r>
        <w:rPr>
          <w:i/>
          <w:color w:val="888888"/>
        </w:rPr>
        <w:t>[Image placeholder]</w:t>
      </w:r>
    </w:p>
    <w:p>
      <w:pPr>
        <w:pStyle w:val="Heading3"/>
      </w:pPr>
      <w:r>
        <w:rPr>
          <w:sz w:val="24"/>
        </w:rPr>
        <w:t>Slide 36/37: (Untitled)</w:t>
      </w:r>
    </w:p>
    <w:p>
      <w:r>
        <w:rPr>
          <w:i/>
          <w:color w:val="888888"/>
        </w:rPr>
        <w:t>[Image placeholder]</w:t>
      </w:r>
    </w:p>
    <w:p>
      <w:pPr>
        <w:pStyle w:val="Heading3"/>
      </w:pPr>
      <w:r>
        <w:rPr>
          <w:sz w:val="24"/>
        </w:rPr>
        <w:t>Slide 37/37: (Untitled)</w:t>
      </w:r>
    </w:p>
    <w:p>
      <w:r>
        <w:rPr>
          <w:i/>
          <w:color w:val="888888"/>
        </w:rPr>
        <w:t>[Image placeholder]</w:t>
      </w:r>
    </w:p>
    <w:p>
      <w:pPr>
        <w:pStyle w:val="Heading2"/>
      </w:pPr>
      <w:r>
        <w:t>Assignment</w:t>
      </w:r>
    </w:p>
    <w:p>
      <w:r>
        <w:rPr>
          <w:b/>
          <w:color w:val="008800"/>
        </w:rPr>
        <w:t>[Assignment 15]: Sending Messages</w:t>
      </w:r>
    </w:p>
    <w:p>
      <w:r>
        <w:rPr>
          <w:i/>
          <w:sz w:val="18"/>
        </w:rPr>
        <w:t>File: 15 - Sending Messages.pdf</w:t>
      </w:r>
    </w:p>
    <w:p/>
    <w:p>
      <w:pPr>
        <w:spacing w:before="240"/>
        <w:jc w:val="center"/>
      </w:pPr>
      <w:r>
        <w:rPr>
          <w:i/>
          <w:color w:val="999999"/>
          <w:sz w:val="16"/>
        </w:rPr>
        <w:t>--- End of Lesson 15: Sending Messages | 37 slides | 19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