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11: Introduction to Integration</w:t>
      </w:r>
    </w:p>
    <w:p>
      <w:pPr>
        <w:pStyle w:val="Heading2"/>
      </w:pPr>
      <w:r>
        <w:rPr>
          <w:color w:val="333333"/>
          <w:sz w:val="28"/>
        </w:rPr>
        <w:t>Lesson 16: Acknowledging Messages</w:t>
      </w:r>
    </w:p>
    <w:p>
      <w:pPr>
        <w:spacing w:after="40"/>
      </w:pPr>
      <w:r>
        <w:rPr>
          <w:i/>
          <w:color w:val="999999"/>
          <w:sz w:val="16"/>
        </w:rPr>
        <w:t>Source: Acknowledging Messages.pptx</w:t>
      </w:r>
    </w:p>
    <w:p>
      <w:pPr>
        <w:pStyle w:val="Heading3"/>
      </w:pPr>
      <w:r>
        <w:t>Video References</w:t>
      </w:r>
    </w:p>
    <w:p>
      <w:pPr>
        <w:pStyle w:val="ListNumber"/>
      </w:pPr>
      <w:r>
        <w:rPr>
          <w:color w:val="0066CC"/>
          <w:sz w:val="20"/>
        </w:rPr>
        <w:t>[Video 1: In_02_01.mp4]</w:t>
      </w:r>
    </w:p>
    <w:p>
      <w:pPr>
        <w:pStyle w:val="ListNumber"/>
      </w:pPr>
      <w:r>
        <w:rPr>
          <w:color w:val="0066CC"/>
          <w:sz w:val="20"/>
        </w:rPr>
        <w:t>[Video 2: In_03_01.mp4]</w:t>
      </w:r>
    </w:p>
    <w:p>
      <w:pPr>
        <w:pStyle w:val="ListNumber"/>
      </w:pPr>
      <w:r>
        <w:rPr>
          <w:color w:val="0066CC"/>
          <w:sz w:val="20"/>
        </w:rPr>
        <w:t>[Video 3: In_04_01.mp4]</w:t>
      </w:r>
    </w:p>
    <w:p>
      <w:pPr>
        <w:pStyle w:val="ListNumber"/>
      </w:pPr>
      <w:r>
        <w:rPr>
          <w:color w:val="0066CC"/>
          <w:sz w:val="20"/>
        </w:rPr>
        <w:t>[Video 4: In_05_01.mp4]</w:t>
      </w:r>
    </w:p>
    <w:p>
      <w:pPr>
        <w:pStyle w:val="ListNumber"/>
      </w:pPr>
      <w:r>
        <w:rPr>
          <w:color w:val="0066CC"/>
          <w:sz w:val="20"/>
        </w:rPr>
        <w:t>[Video 5: In_06_01.mp4]</w:t>
      </w:r>
    </w:p>
    <w:p>
      <w:pPr>
        <w:pStyle w:val="ListNumber"/>
      </w:pPr>
      <w:r>
        <w:rPr>
          <w:color w:val="0066CC"/>
          <w:sz w:val="20"/>
        </w:rPr>
        <w:t>[Video 6: In_07_01.mp4]</w:t>
      </w:r>
    </w:p>
    <w:p>
      <w:pPr>
        <w:pStyle w:val="ListNumber"/>
      </w:pPr>
      <w:r>
        <w:rPr>
          <w:color w:val="0066CC"/>
          <w:sz w:val="20"/>
        </w:rPr>
        <w:t>[Video 7: In_08_01.mp4]</w:t>
      </w:r>
    </w:p>
    <w:p>
      <w:pPr>
        <w:pStyle w:val="ListNumber"/>
      </w:pPr>
      <w:r>
        <w:rPr>
          <w:color w:val="0066CC"/>
          <w:sz w:val="20"/>
        </w:rPr>
        <w:t>[Video 8: In_09_01.mp4]</w:t>
      </w:r>
    </w:p>
    <w:p>
      <w:pPr>
        <w:pStyle w:val="ListNumber"/>
      </w:pPr>
      <w:r>
        <w:rPr>
          <w:color w:val="0066CC"/>
          <w:sz w:val="20"/>
        </w:rPr>
        <w:t>[Video 9: In_09_02.mp4]</w:t>
      </w:r>
    </w:p>
    <w:p>
      <w:pPr>
        <w:pStyle w:val="ListNumber"/>
      </w:pPr>
      <w:r>
        <w:rPr>
          <w:color w:val="0066CC"/>
          <w:sz w:val="20"/>
        </w:rPr>
        <w:t>[Video 10: In_10_01.mp4]</w:t>
      </w:r>
    </w:p>
    <w:p>
      <w:pPr>
        <w:pStyle w:val="ListNumber"/>
      </w:pPr>
      <w:r>
        <w:rPr>
          <w:color w:val="0066CC"/>
          <w:sz w:val="20"/>
        </w:rPr>
        <w:t>[Video 11: In_11_01.mp4]</w:t>
      </w:r>
    </w:p>
    <w:p>
      <w:pPr>
        <w:pStyle w:val="ListNumber"/>
      </w:pPr>
      <w:r>
        <w:rPr>
          <w:color w:val="0066CC"/>
          <w:sz w:val="20"/>
        </w:rPr>
        <w:t>[Video 12: In_12_01.mp4]</w:t>
      </w:r>
    </w:p>
    <w:p>
      <w:pPr>
        <w:pStyle w:val="ListNumber"/>
      </w:pPr>
      <w:r>
        <w:rPr>
          <w:color w:val="0066CC"/>
          <w:sz w:val="20"/>
        </w:rPr>
        <w:t>[Video 13: In_13_01.mp4]</w:t>
      </w:r>
    </w:p>
    <w:p>
      <w:pPr>
        <w:pStyle w:val="ListNumber"/>
      </w:pPr>
      <w:r>
        <w:rPr>
          <w:color w:val="0066CC"/>
          <w:sz w:val="20"/>
        </w:rPr>
        <w:t>[Video 14: In_14_01.mp4]</w:t>
      </w:r>
    </w:p>
    <w:p>
      <w:pPr>
        <w:pStyle w:val="ListNumber"/>
      </w:pPr>
      <w:r>
        <w:rPr>
          <w:color w:val="0066CC"/>
          <w:sz w:val="20"/>
        </w:rPr>
        <w:t>[Video 15: In_15_01.mp4]</w:t>
      </w:r>
    </w:p>
    <w:p>
      <w:pPr>
        <w:pStyle w:val="ListNumber"/>
      </w:pPr>
      <w:r>
        <w:rPr>
          <w:color w:val="0066CC"/>
          <w:sz w:val="20"/>
        </w:rPr>
        <w:t>[Video 16: In_16_01.mp4]</w:t>
      </w:r>
    </w:p>
    <w:p>
      <w:pPr>
        <w:pStyle w:val="ListNumber"/>
      </w:pPr>
      <w:r>
        <w:rPr>
          <w:color w:val="0066CC"/>
          <w:sz w:val="20"/>
        </w:rPr>
        <w:t>[Video 17: In_17_01.mp4]</w:t>
      </w:r>
    </w:p>
    <w:p>
      <w:pPr>
        <w:pStyle w:val="ListNumber"/>
      </w:pPr>
      <w:r>
        <w:rPr>
          <w:color w:val="0066CC"/>
          <w:sz w:val="20"/>
        </w:rPr>
        <w:t>[Video 18: In_18_01.mp4]</w:t>
      </w:r>
    </w:p>
    <w:p>
      <w:pPr>
        <w:pStyle w:val="ListNumber"/>
      </w:pPr>
      <w:r>
        <w:rPr>
          <w:color w:val="0066CC"/>
          <w:sz w:val="20"/>
        </w:rPr>
        <w:t>[Video 19: In_19_01.mp4]</w:t>
      </w:r>
    </w:p>
    <w:p/>
    <w:p>
      <w:pPr>
        <w:pStyle w:val="Heading2"/>
      </w:pPr>
      <w:r>
        <w:t>Slide Content</w:t>
      </w:r>
    </w:p>
    <w:p>
      <w:pPr>
        <w:pStyle w:val="Heading3"/>
      </w:pPr>
      <w:r>
        <w:rPr>
          <w:sz w:val="24"/>
        </w:rPr>
        <w:t>Slide 1/43: (Untitled)</w:t>
      </w:r>
    </w:p>
    <w:p>
      <w:r>
        <w:rPr>
          <w:i/>
          <w:color w:val="888888"/>
        </w:rPr>
        <w:t>[Image placeholder]</w:t>
      </w:r>
    </w:p>
    <w:p>
      <w:pPr>
        <w:pStyle w:val="Heading3"/>
      </w:pPr>
      <w:r>
        <w:rPr>
          <w:sz w:val="24"/>
        </w:rPr>
        <w:t>Slide 2/43: (Untitled)</w:t>
      </w:r>
    </w:p>
    <w:p>
      <w:r>
        <w:rPr>
          <w:i/>
          <w:color w:val="888888"/>
        </w:rPr>
        <w:t>[Image placeholder]</w:t>
      </w:r>
    </w:p>
    <w:p>
      <w:pPr>
        <w:pStyle w:val="Heading3"/>
      </w:pPr>
      <w:r>
        <w:rPr>
          <w:sz w:val="24"/>
        </w:rPr>
        <w:t>Slide 3/43: (Untitled)</w:t>
      </w:r>
    </w:p>
    <w:p>
      <w:r>
        <w:rPr>
          <w:i/>
          <w:color w:val="888888"/>
        </w:rPr>
        <w:t>[Image placeholder]</w:t>
      </w:r>
    </w:p>
    <w:p>
      <w:pPr>
        <w:spacing w:before="80" w:after="80"/>
        <w:shd w:fill="E8E8E8" w:val="clear"/>
      </w:pPr>
      <w:r>
        <w:rPr>
          <w:i/>
          <w:color w:val="444444"/>
          <w:sz w:val="18"/>
        </w:rPr>
        <w:t>Speaker Notes: Use case</w:t>
        <w:br/>
        <w:t>For asynchronous acknowledgment, the design approach would be more elaborate as discussed in this Lesson</w:t>
      </w:r>
    </w:p>
    <w:p>
      <w:pPr>
        <w:pStyle w:val="Heading3"/>
      </w:pPr>
      <w:r>
        <w:rPr>
          <w:sz w:val="24"/>
        </w:rPr>
        <w:t>Slide 4/43: (Untitled)</w:t>
      </w:r>
    </w:p>
    <w:p>
      <w:r>
        <w:rPr>
          <w:i/>
          <w:color w:val="888888"/>
        </w:rPr>
        <w:t>[Image placeholder]</w:t>
      </w:r>
    </w:p>
    <w:p>
      <w:pPr>
        <w:spacing w:before="80" w:after="80"/>
        <w:shd w:fill="E8E8E8" w:val="clear"/>
      </w:pPr>
      <w:r>
        <w:rPr>
          <w:i/>
          <w:color w:val="444444"/>
          <w:sz w:val="18"/>
        </w:rPr>
        <w:t>Speaker Notes: Guidewire servers and messaging transactions</w:t>
        <w:br/>
        <w:t>The servers involved at each point of the process are important because they determine where payload work should occur. The majority of payload generation should be done in Event Fired rules on the ui role server that manages the given user's session. However, if some portion of payload generation must be done immediately before the message is sent, that portion of the payload can be generated on the messaging role server.</w:t>
        <w:br/>
        <w:br/>
        <w:t>A message is always processed in at least two and as many as four transactions:</w:t>
        <w:br/>
        <w:t>Transaction 1 — Creates the message and generates the payload. This transaction always occurs-</w:t>
        <w:br/>
        <w:br/>
        <w:t>Transaction 2 — Prior to sending the message, an optional transaction may transform the message payload. This is usually done when the message must include information that can only be known immediately before sending the message.</w:t>
        <w:br/>
        <w:br/>
        <w:t>Transaction 3 — The sending of the message to the external system occurs in its owntransaction- This transaction always occurs. If the external system acknowledges the message synchronously,  then the acknowledgement is included in this transaction-</w:t>
        <w:br/>
        <w:br/>
        <w:t>Transaction 4 — If the external system acknowledges the message asynchronously, then a separate transaction processes the acknowledgement. This transaction does not occur for messages that are acknowledged synchronously.</w:t>
        <w:br/>
        <w:br/>
        <w:t xml:space="preserve"> The transaction structure is important because this determines the work that is rolled back if an error occurs.</w:t>
        <w:br/>
        <w:br/>
        <w:t>Guidewire expects that every sent message will immediately or eventually be followed by a response from the external system. An immediate response is a synchronous response. An eventual response is an asynchronous response.  There, is of course, the possibility that the external system never replies with a response. In some cases, a response is simply a reply that is a positive acknowledgement. In other cases, a response includes both an acknowledgement and some type of data such as a report.</w:t>
        <w:br/>
        <w:br/>
        <w:t xml:space="preserve">An acknowledgement comes in the form of a positive acknowledgement or negative acknowledgement. With regards to the messaging Guidewire API, integration code calls an acknowledgement or reports an error. Code that calls anacknowledgement is a positive acknowledgement Code that invokes an error is generally a negative acknowledgement. </w:t>
        <w:br/>
        <w:br/>
        <w:t>The reply mechanism for the external system to make a response often depends if the response synchronous or asynchronous. For a synchronous response, often the message transport plugin is the reply mechanism- For asynchronous responses, often a Guidewire Application published web service or a message reply plugin is the reply mechanism.</w:t>
      </w:r>
    </w:p>
    <w:p>
      <w:pPr>
        <w:pStyle w:val="Heading3"/>
      </w:pPr>
      <w:r>
        <w:rPr>
          <w:sz w:val="24"/>
        </w:rPr>
        <w:t>Slide 5/43: (Untitled)</w:t>
      </w:r>
    </w:p>
    <w:p>
      <w:r>
        <w:rPr>
          <w:i/>
          <w:color w:val="888888"/>
        </w:rPr>
        <w:t>[Image placeholder]</w:t>
      </w:r>
    </w:p>
    <w:p>
      <w:pPr>
        <w:pStyle w:val="Heading3"/>
      </w:pPr>
      <w:r>
        <w:rPr>
          <w:sz w:val="24"/>
        </w:rPr>
        <w:t>Slide 6/43: (Untitled)</w:t>
      </w:r>
    </w:p>
    <w:p>
      <w:r>
        <w:rPr>
          <w:i/>
          <w:color w:val="888888"/>
        </w:rPr>
        <w:t>[Image placeholder]</w:t>
      </w:r>
    </w:p>
    <w:p>
      <w:pPr>
        <w:spacing w:before="80" w:after="80"/>
        <w:shd w:fill="E8E8E8" w:val="clear"/>
      </w:pPr>
      <w:r>
        <w:rPr>
          <w:i/>
          <w:color w:val="444444"/>
          <w:sz w:val="18"/>
        </w:rPr>
        <w:t>Speaker Notes: Plugins that acknowledge messages</w:t>
        <w:br/>
        <w:t>Every destination has up to three plugins that are used for messaging. Two of these plugins could play a role in acknowledging a message,though it is possible that no plugin is used for acknowledgement.</w:t>
        <w:br/>
        <w:br/>
        <w:t>The request plugin is an optional plugin that is responsible for payload transformation. It is not involved in the acknowledgementof messages.</w:t>
        <w:br/>
        <w:br/>
        <w:t xml:space="preserve">The transport plugin is a required plugin that is responsible for sending the message to the external system. If the acknowledgement is received synchronously, then this plugin also processes the reply. </w:t>
        <w:br/>
        <w:br/>
        <w:t>An external system can acknowledge a message using a remote call (either the IMessageToolsAPl or a custom- built web service). If a remote call is used, then the message reply is handled independent of the destination's plugins.</w:t>
        <w:br/>
        <w:br/>
        <w:t>The reply plugin is an optional plugin that initializes a listener queue and associates it to the destination. It processes acknowledgements sent asynchronously using the listener queue. Like predefined plugins, messaging plugins can be implemented in Gosu or Java</w:t>
      </w:r>
    </w:p>
    <w:p>
      <w:pPr>
        <w:pStyle w:val="Heading3"/>
      </w:pPr>
      <w:r>
        <w:rPr>
          <w:sz w:val="24"/>
        </w:rPr>
        <w:t>Slide 7/43: (Untitled)</w:t>
      </w:r>
    </w:p>
    <w:p>
      <w:r>
        <w:rPr>
          <w:i/>
          <w:color w:val="888888"/>
        </w:rPr>
        <w:t>[Image placeholder]</w:t>
      </w:r>
    </w:p>
    <w:p>
      <w:pPr>
        <w:spacing w:before="80" w:after="80"/>
        <w:shd w:fill="E8E8E8" w:val="clear"/>
      </w:pPr>
      <w:r>
        <w:rPr>
          <w:i/>
          <w:color w:val="444444"/>
          <w:sz w:val="18"/>
        </w:rPr>
        <w:t>Speaker Notes: Interpreting the external system response</w:t>
        <w:br/>
        <w:t>Guidewire can interpret a response to be one of three types: positive acknowledgement, error, and duplicate response.  Guidewire applications must also decide how to react when the external system never sends a response to a message.</w:t>
      </w:r>
    </w:p>
    <w:p>
      <w:pPr>
        <w:pStyle w:val="Heading3"/>
      </w:pPr>
      <w:r>
        <w:rPr>
          <w:sz w:val="24"/>
        </w:rPr>
        <w:t>Slide 8/43: (Untitled)</w:t>
      </w:r>
    </w:p>
    <w:p>
      <w:r>
        <w:rPr>
          <w:i/>
          <w:color w:val="888888"/>
        </w:rPr>
        <w:t>[Image placeholder]</w:t>
      </w:r>
    </w:p>
    <w:p>
      <w:pPr>
        <w:spacing w:before="80" w:after="80"/>
        <w:shd w:fill="E8E8E8" w:val="clear"/>
      </w:pPr>
      <w:r>
        <w:rPr>
          <w:i/>
          <w:color w:val="444444"/>
          <w:sz w:val="18"/>
        </w:rPr>
        <w:t>Speaker Notes: Message and MessageHistory</w:t>
        <w:br/>
        <w:t>A message can move from the message table to the message history table if the message is positively acknowledged or skipped. The Message table contains messages that need further processing. The Message History table contains messages that do not need further processing. A message can move from the message table to the message history table if the message is positively acknowledged or skipped. Otherwise, the message remains in the message table.</w:t>
        <w:br/>
        <w:br/>
        <w:t>Over time, the message history table accumulates a large number of message histories and therefore needs to be pruned on a regular basis. The Message Tools APl has a purge Completed Messages method that can be used to do this. For more information on pruning the Message History table, refer to the System Administration Guide.</w:t>
      </w:r>
    </w:p>
    <w:p>
      <w:pPr>
        <w:pStyle w:val="Heading3"/>
      </w:pPr>
      <w:r>
        <w:rPr>
          <w:sz w:val="24"/>
        </w:rPr>
        <w:t>Slide 9/43: (Untitled)</w:t>
      </w:r>
    </w:p>
    <w:p>
      <w:r>
        <w:rPr>
          <w:i/>
          <w:color w:val="888888"/>
        </w:rPr>
        <w:t>[Image placeholder]</w:t>
      </w:r>
    </w:p>
    <w:p>
      <w:pPr>
        <w:spacing w:before="80" w:after="80"/>
        <w:shd w:fill="E8E8E8" w:val="clear"/>
      </w:pPr>
      <w:r>
        <w:rPr>
          <w:i/>
          <w:color w:val="444444"/>
          <w:sz w:val="18"/>
        </w:rPr>
        <w:t>Speaker Notes: Positive acknowledgements</w:t>
        <w:br/>
        <w:t>When the external system reports a message was successfully received and processed, Guidewire interprets this as a positive acknowledgement, also known as an ACK- When a message is positively acknowledged, Guidewire:</w:t>
        <w:br/>
        <w:br/>
        <w:t>Moves the message from Message to MessageHistory, and</w:t>
        <w:br/>
        <w:t>Changes the status to reflect acknowledgement</w:t>
        <w:br/>
        <w:br/>
        <w:t>Status is an integer field on both Message and MessageHistory. In most cases, developers do not need to know what each integer represents. However, the statuses are defined in the Data Dictionary- The Status column in the Message Table and MessageHistory Table screens includes both the integer code and its meaning.</w:t>
        <w:br/>
        <w:br/>
        <w:t>Message table status descriptions:</w:t>
        <w:br/>
        <w:br/>
        <w:t>1 = Pending send- Waiting to send message.</w:t>
        <w:br/>
        <w:t>2 = Pending ack. Message sent- Waiting for acknowledgment.</w:t>
        <w:br/>
        <w:t>3 = Error. Deprecated.</w:t>
        <w:br/>
        <w:t>4 = Retryable error. Error reported. Can be send exception or negative acknowledgment from external system.</w:t>
        <w:br/>
        <w:br/>
        <w:t>Message History table descriptions:</w:t>
        <w:br/>
        <w:br/>
        <w:t>10 = Acked- Positive acknowledgment of message.</w:t>
        <w:br/>
        <w:br/>
        <w:t>11 = Error cleared. The message was in retryable error state, but the administrator skipped the message.</w:t>
        <w:br/>
        <w:br/>
        <w:t>12 = Error retried- Message with error retried. Clone of the original message created in the message table and will be resent.</w:t>
        <w:br/>
        <w:br/>
        <w:t>13 = Skipped- Message was not in error — it was either Pending send(l) or Pending ack(2).</w:t>
      </w:r>
    </w:p>
    <w:p>
      <w:pPr>
        <w:pStyle w:val="Heading3"/>
      </w:pPr>
      <w:r>
        <w:rPr>
          <w:sz w:val="24"/>
        </w:rPr>
        <w:t>Slide 10/43: (Untitled)</w:t>
      </w:r>
    </w:p>
    <w:p>
      <w:r>
        <w:rPr>
          <w:i/>
          <w:color w:val="888888"/>
        </w:rPr>
        <w:t>[Image placeholder]</w:t>
      </w:r>
    </w:p>
    <w:p>
      <w:pPr>
        <w:spacing w:before="80" w:after="80"/>
        <w:shd w:fill="E8E8E8" w:val="clear"/>
      </w:pPr>
      <w:r>
        <w:rPr>
          <w:i/>
          <w:color w:val="444444"/>
          <w:sz w:val="18"/>
        </w:rPr>
        <w:t>Speaker Notes: Messaging exceptions during send</w:t>
        <w:br/>
        <w:t>An exception is different than a reported error for a message. There are various types of exceptions such as a java.net.ConnectionException or gw.xml.ws.WsiAuthenticationExc Eption.</w:t>
        <w:br/>
        <w:br/>
        <w:t>When an exception is thrown in a transport plugin send method, the Guidewire application response is to retry sending the message until reaching the maximum number of retries. The message’s destination configuration defines the value for the maximum number of retries.</w:t>
        <w:br/>
        <w:br/>
        <w:t>In order for an additional messages to be processed for the messaging destination, you need to skip any messages reporting an error and to resume the suspended destination. An administrator can manually skip a message. It is also possible for custom code to skip messages, for example, from within a batch process. If a message is safe ordered, the next message for the destination/entity pair will not be sent until the message is either resent and successfully acknowledged or skipped.</w:t>
      </w:r>
    </w:p>
    <w:p>
      <w:pPr>
        <w:pStyle w:val="Heading3"/>
      </w:pPr>
      <w:r>
        <w:rPr>
          <w:sz w:val="24"/>
        </w:rPr>
        <w:t>Slide 11/43: (Untitled)</w:t>
      </w:r>
    </w:p>
    <w:p>
      <w:r>
        <w:rPr>
          <w:i/>
          <w:color w:val="888888"/>
        </w:rPr>
        <w:t>[Image placeholder]</w:t>
      </w:r>
    </w:p>
    <w:p>
      <w:pPr>
        <w:spacing w:before="80" w:after="80"/>
        <w:shd w:fill="E8E8E8" w:val="clear"/>
      </w:pPr>
      <w:r>
        <w:rPr>
          <w:i/>
          <w:color w:val="444444"/>
          <w:sz w:val="18"/>
        </w:rPr>
        <w:t>Speaker Notes: Messaging errors after send</w:t>
        <w:br/>
        <w:t>Guidewire applications consider all messages with an error as retryable messages. A status of a retryable error indicates a condition that is expected to be temporary for the messaging destination. Some examples of temporary errors are: the external system is unreachable due to network problems, authentication protocols require new credentials, database locks, and the file system is full. In all cases, Guidewire application considers the messaging error as a retryable error.</w:t>
        <w:br/>
        <w:br/>
        <w:t>The term negative acknowledgement (NACK) indicates that the external system is reporting an error. The mechanism for a negative acknowledgement is similar to an acknowledgement with respect to if the messaging architecture is synchronous or asynchronous. If the messaging is synchronous, the negative acknowledgement occurs in the transport plugim If the messaging is asynchronous, a reply plugin, or a remote API reports the error.</w:t>
      </w:r>
    </w:p>
    <w:p>
      <w:pPr>
        <w:pStyle w:val="Heading3"/>
      </w:pPr>
      <w:r>
        <w:rPr>
          <w:sz w:val="24"/>
        </w:rPr>
        <w:t>Slide 12/43: (Untitled)</w:t>
      </w:r>
    </w:p>
    <w:p>
      <w:r>
        <w:rPr>
          <w:i/>
          <w:color w:val="888888"/>
        </w:rPr>
        <w:t>[Image placeholder]</w:t>
      </w:r>
    </w:p>
    <w:p>
      <w:pPr>
        <w:spacing w:before="80" w:after="80"/>
        <w:shd w:fill="E8E8E8" w:val="clear"/>
      </w:pPr>
      <w:r>
        <w:rPr>
          <w:i/>
          <w:color w:val="444444"/>
          <w:sz w:val="18"/>
        </w:rPr>
        <w:t>Speaker Notes: Retrying an error</w:t>
        <w:br/>
        <w:t>Note that in the screenshot of the Message table, there are two messages, one with an ID of 1902 and one with an ID of 1903. The first message had a status of Pending acknowledged and then had a status of Retryable error. When the error was retried, message 1902 was moved to the MessageHistory table, and message 1903 was created and sent. Even though Message 1903 has a different SenderReflD, it is linked to the same triggering entity MessageGenerator(20). So, message 1902 and message 1903 are two separate message instances that relate to the same logical business event.</w:t>
      </w:r>
    </w:p>
    <w:p>
      <w:pPr>
        <w:pStyle w:val="Heading3"/>
      </w:pPr>
      <w:r>
        <w:rPr>
          <w:sz w:val="24"/>
        </w:rPr>
        <w:t>Slide 13/43: (Untitled)</w:t>
      </w:r>
    </w:p>
    <w:p>
      <w:r>
        <w:rPr>
          <w:i/>
          <w:color w:val="888888"/>
        </w:rPr>
        <w:t>[Image placeholder]</w:t>
      </w:r>
    </w:p>
    <w:p>
      <w:pPr>
        <w:spacing w:before="80" w:after="80"/>
        <w:shd w:fill="E8E8E8" w:val="clear"/>
      </w:pPr>
      <w:r>
        <w:rPr>
          <w:i/>
          <w:color w:val="444444"/>
          <w:sz w:val="18"/>
        </w:rPr>
        <w:t>Speaker Notes: Duplicate messages</w:t>
        <w:br/>
        <w:t>Guidewire does not treat a message with a non-zero duplicate count any differently from a message with a zero- duplicate count. However, the recommendation is to process duplicates reported by the external system so as to retain as much information as possible about what was sent from the external system.</w:t>
      </w:r>
    </w:p>
    <w:p>
      <w:pPr>
        <w:pStyle w:val="Heading3"/>
      </w:pPr>
      <w:r>
        <w:rPr>
          <w:sz w:val="24"/>
        </w:rPr>
        <w:t>Slide 14/43: (Untitled)</w:t>
      </w:r>
    </w:p>
    <w:p>
      <w:r>
        <w:rPr>
          <w:i/>
          <w:color w:val="888888"/>
        </w:rPr>
        <w:t>[Image placeholder]</w:t>
      </w:r>
    </w:p>
    <w:p>
      <w:pPr>
        <w:spacing w:before="80" w:after="80"/>
        <w:shd w:fill="E8E8E8" w:val="clear"/>
      </w:pPr>
      <w:r>
        <w:rPr>
          <w:i/>
          <w:color w:val="444444"/>
          <w:sz w:val="18"/>
        </w:rPr>
        <w:t>Speaker Notes: No response</w:t>
        <w:br/>
        <w:t>The Message table should be checked for messages that have not received a reply within a timely fashion. This could be a Guidewire custom batch process or a database tool that monitors the Message table. Each non- response message typically requires manual evaluation to determine the cause of the non- response and the appropriate steps to fix the situatiom</w:t>
      </w:r>
    </w:p>
    <w:p>
      <w:pPr>
        <w:pStyle w:val="Heading3"/>
      </w:pPr>
      <w:r>
        <w:rPr>
          <w:sz w:val="24"/>
        </w:rPr>
        <w:t>Slide 15/43: (Untitled)</w:t>
      </w:r>
    </w:p>
    <w:p>
      <w:r>
        <w:rPr>
          <w:i/>
          <w:color w:val="888888"/>
        </w:rPr>
        <w:t>[Image placeholder]</w:t>
      </w:r>
    </w:p>
    <w:p>
      <w:pPr>
        <w:spacing w:before="80" w:after="80"/>
        <w:shd w:fill="E8E8E8" w:val="clear"/>
      </w:pPr>
      <w:r>
        <w:rPr>
          <w:i/>
          <w:color w:val="444444"/>
          <w:sz w:val="18"/>
        </w:rPr>
        <w:t>Speaker Notes: Contrasting retry scenarios</w:t>
        <w:br/>
        <w:t>A message could be retried automatically during the sending of the message. A message could be retried manually. Both are discussed in detail in the Sending Messages lesson.</w:t>
        <w:br/>
        <w:br/>
        <w:t>A message can be retried automatically after the sending of the message.</w:t>
        <w:br/>
        <w:br/>
        <w:t>Occurs when the external system reports a retryable error. For example, the message was received but not successfully consumed. The error is expected to be temporary, such as unavailable network resource-</w:t>
        <w:br/>
        <w:br/>
        <w:t>The message should be retried automatically by the integration code. When the code reports an error, it should specify a retry time.</w:t>
        <w:br/>
        <w:br/>
        <w:t>Even though it pertains to the same message event,  the retry is a different message and the same SenderReflD should not be used. Ifthe same SenderReflD is used, then the external system may consider the second attempt to be a duplicate message and disregard it.</w:t>
        <w:br/>
        <w:br/>
        <w:t>The maximum number of retries is specified by the integration code as defined by plugin parameter (for the transport or reply plugin) or a script parameter-</w:t>
        <w:br/>
        <w:br/>
        <w:t>If a given message exceeds the maximum number of retries, then the message should be reported with an appropriate error category,  an administrator should be alerted, and no further automatic attempts should be made. Any other messages for the same destination should not be affected.</w:t>
      </w:r>
    </w:p>
    <w:p>
      <w:pPr>
        <w:pStyle w:val="Heading3"/>
      </w:pPr>
      <w:r>
        <w:rPr>
          <w:sz w:val="24"/>
        </w:rPr>
        <w:t>Slide 16/43: (Untitled)</w:t>
      </w:r>
    </w:p>
    <w:p>
      <w:r>
        <w:rPr>
          <w:i/>
          <w:color w:val="888888"/>
        </w:rPr>
        <w:t>[Image placeholder]</w:t>
      </w:r>
    </w:p>
    <w:p>
      <w:pPr>
        <w:pStyle w:val="Heading3"/>
      </w:pPr>
      <w:r>
        <w:rPr>
          <w:sz w:val="24"/>
        </w:rPr>
        <w:t>Slide 17/43: (Untitled)</w:t>
      </w:r>
    </w:p>
    <w:p>
      <w:r>
        <w:rPr>
          <w:i/>
          <w:color w:val="888888"/>
        </w:rPr>
        <w:t>[Image placeholder]</w:t>
      </w:r>
    </w:p>
    <w:p>
      <w:pPr>
        <w:spacing w:before="80" w:after="80"/>
        <w:shd w:fill="E8E8E8" w:val="clear"/>
      </w:pPr>
      <w:r>
        <w:rPr>
          <w:i/>
          <w:color w:val="444444"/>
          <w:sz w:val="18"/>
        </w:rPr>
        <w:t>Speaker Notes: Reporting positive acknowledgement</w:t>
        <w:br/>
        <w:t>Code example:</w:t>
        <w:br/>
        <w:t>Line 33 - Message is acknowledged using reportAck method.</w:t>
        <w:br/>
        <w:t>Line 34 - Bank account status updated to Verified.</w:t>
      </w:r>
    </w:p>
    <w:p>
      <w:pPr>
        <w:pStyle w:val="Heading3"/>
      </w:pPr>
      <w:r>
        <w:rPr>
          <w:sz w:val="24"/>
        </w:rPr>
        <w:t>Slide 18/43: (Untitled)</w:t>
      </w:r>
    </w:p>
    <w:p>
      <w:r>
        <w:rPr>
          <w:i/>
          <w:color w:val="888888"/>
        </w:rPr>
        <w:t>[Image placeholder]</w:t>
      </w:r>
    </w:p>
    <w:p>
      <w:pPr>
        <w:spacing w:before="80" w:after="80"/>
        <w:shd w:fill="E8E8E8" w:val="clear"/>
      </w:pPr>
      <w:r>
        <w:rPr>
          <w:i/>
          <w:color w:val="444444"/>
          <w:sz w:val="18"/>
        </w:rPr>
        <w:t>Speaker Notes: Reporting errors after send below max retries (Examples)</w:t>
        <w:br/>
        <w:t>Code example 1</w:t>
        <w:br/>
        <w:t>Line 16</w:t>
        <w:br/>
        <w:t>Custom parameters needed for re-send retry behavior.</w:t>
        <w:br/>
        <w:t xml:space="preserve">Defined for maximum retries, retry delay etc.  Plugin parameters (for reply code in plugins). </w:t>
        <w:br/>
        <w:t>Script parameters (for reply code in web services).</w:t>
        <w:br/>
        <w:t xml:space="preserve"> Code example 2 </w:t>
        <w:br/>
        <w:t xml:space="preserve">Line 28 </w:t>
        <w:br/>
        <w:t>Checks if below max retries.</w:t>
        <w:br/>
        <w:t xml:space="preserve">Line 29 </w:t>
        <w:br/>
        <w:t>RetryCount property starts at 0 and increments with each resend-</w:t>
        <w:br/>
        <w:t>Line 34</w:t>
        <w:br/>
        <w:t xml:space="preserve">Call reportError(retryTime) before maximum retries limit reached. </w:t>
        <w:br/>
        <w:t xml:space="preserve">Application sends a cloned message at the future retry time- </w:t>
        <w:br/>
        <w:br/>
        <w:t>The code references a method that you can find in the trainingapp.demo.messageac k.MessageAckUtil class in TrainingApp. The reportExternalSystemError method illustrates how an external system can report an error using a remote API call or message reply plugin.</w:t>
        <w:br/>
        <w:br/>
        <w:t>A backoff multiplier is a value that is used to increase a retry interval arithmetically. In the example above, thebackoff multiplier simply increases the wait time by 60 seconds per iteration. For the first resend, aMessage.RetryCount is 0,  so backOffv1ultiplier is set to 1 and waitTime is set to 30 seconds. For the second resend, aMessage.RetryCount is 1, so backOffv1ultiplier is set to 2 and waitTime is set to 60 seconds. For the third resend, waitTime is set to 120 seconds, and so on.</w:t>
        <w:br/>
        <w:br/>
        <w:t>Every destination should have a specific number of times a message can be retried after the initial send.  The number of retries should be specified using either a plugin parameter for the reply code in the transport or reply plugin or a script parameter for the reply code in the web services handler.</w:t>
        <w:br/>
        <w:br/>
        <w:t xml:space="preserve"> Before the max has been reached, report the error using message. reportError(whenTo ResendMessage). Then, when sending the retry message, use a new SenderReflD even though it pertains to the same message event, it must be treated as a new message- The amount of time between resends should increase with each resend.</w:t>
        <w:br/>
        <w:br/>
        <w:t xml:space="preserve">If a message is resent two or more times because the external system reported a retryable error, each message should use a different SenderReflD. This is because the external system may treat two messages with the same ID as the same message. In other words, the external system may be "duplicate aware". If the second message uses the same SenderReflD as the first, then the external system may ignore it or report it as a duplicate, which would prevent the message from ever getting processed. </w:t>
        <w:br/>
        <w:br/>
        <w:t>You can also manually retry any message using the Event Messages administration screens. This is discussed later in this lesson.</w:t>
      </w:r>
    </w:p>
    <w:p>
      <w:pPr>
        <w:pStyle w:val="Heading3"/>
      </w:pPr>
      <w:r>
        <w:rPr>
          <w:sz w:val="24"/>
        </w:rPr>
        <w:t>Slide 19/43: (Untitled)</w:t>
      </w:r>
    </w:p>
    <w:p>
      <w:r>
        <w:rPr>
          <w:i/>
          <w:color w:val="888888"/>
        </w:rPr>
        <w:t>[Image placeholder]</w:t>
      </w:r>
    </w:p>
    <w:p>
      <w:pPr>
        <w:spacing w:before="80" w:after="80"/>
        <w:shd w:fill="E8E8E8" w:val="clear"/>
      </w:pPr>
      <w:r>
        <w:rPr>
          <w:i/>
          <w:color w:val="444444"/>
          <w:sz w:val="18"/>
        </w:rPr>
        <w:t>Speaker Notes: Reporting errors after send at max retries</w:t>
        <w:br/>
        <w:t>Error Category is a type list that identifies the error reason for a message. In each base application, the typelist is empty. When a given message's retry max has been reached, report the error using message. Report Error(errorCategory) and alert an administrator to the issue as it pertains to the message error. Guidewire will no longer try to resend the message.  When you simply report the error, but no exception is thrown, Guidewire will not suspend the message destination.</w:t>
      </w:r>
    </w:p>
    <w:p>
      <w:pPr>
        <w:pStyle w:val="Heading3"/>
      </w:pPr>
      <w:r>
        <w:rPr>
          <w:sz w:val="24"/>
        </w:rPr>
        <w:t>Slide 20/43: (Untitled)</w:t>
      </w:r>
    </w:p>
    <w:p>
      <w:r>
        <w:rPr>
          <w:i/>
          <w:color w:val="888888"/>
        </w:rPr>
        <w:t>[Image placeholder]</w:t>
      </w:r>
    </w:p>
    <w:p>
      <w:pPr>
        <w:spacing w:before="80" w:after="80"/>
        <w:shd w:fill="E8E8E8" w:val="clear"/>
      </w:pPr>
      <w:r>
        <w:rPr>
          <w:i/>
          <w:color w:val="444444"/>
          <w:sz w:val="18"/>
        </w:rPr>
        <w:t>Speaker Notes: Reporting errors after send at max retries (example)</w:t>
        <w:br/>
        <w:t>Code example</w:t>
        <w:br/>
        <w:t xml:space="preserve">Line 39 </w:t>
        <w:br/>
        <w:t>Call message. reportError(errorCategory) when the maximum retries limit reached.</w:t>
        <w:br/>
        <w:t>Application no longer tries to resend the message.</w:t>
        <w:br/>
        <w:t>Line 41</w:t>
        <w:br/>
        <w:t>An administrator alert usually takes the form of:</w:t>
        <w:br/>
        <w:t>An email sent to the administrator, and/or</w:t>
        <w:br/>
        <w:t>An activity assigned to the administrator</w:t>
        <w:br/>
        <w:br/>
        <w:t>A backoff multiplier is a value that is used to increase a retry interval arithmetically. In the example above, the backoff multiplier simply increases the wait time by 60 seconds per iteration. For the first resend,  aMessage.RetryCount is 0, so backOffMultiplier is set to 1 and waitTime is set to 60 seconds.  For the second resend, aMessage.RetryCount is 1, so backOffMultiplier is set to 2 and waitTime is set to 120 seconds. For the third resend, waitTime is set to 180 seconds, and so on.</w:t>
      </w:r>
    </w:p>
    <w:p>
      <w:pPr>
        <w:pStyle w:val="Heading3"/>
      </w:pPr>
      <w:r>
        <w:rPr>
          <w:sz w:val="24"/>
        </w:rPr>
        <w:t>Slide 21/43: (Untitled)</w:t>
      </w:r>
    </w:p>
    <w:p>
      <w:r>
        <w:rPr>
          <w:i/>
          <w:color w:val="888888"/>
        </w:rPr>
        <w:t>[Image placeholder]</w:t>
      </w:r>
    </w:p>
    <w:p>
      <w:pPr>
        <w:spacing w:before="80" w:after="80"/>
        <w:shd w:fill="E8E8E8" w:val="clear"/>
      </w:pPr>
      <w:r>
        <w:rPr>
          <w:i/>
          <w:color w:val="444444"/>
          <w:sz w:val="18"/>
        </w:rPr>
        <w:t>Speaker Notes: Reporting duplicates</w:t>
        <w:br/>
        <w:t>Code example</w:t>
        <w:br/>
        <w:t>Line 69</w:t>
        <w:br/>
        <w:t>Query MessageHistory table to report duplicates from existing MessageHistory instance.</w:t>
        <w:br/>
        <w:t>Line 72</w:t>
        <w:br/>
        <w:t>Call messageHistory.reportDu plicate method</w:t>
        <w:br/>
        <w:t>One message sent successfully and received by the external system.</w:t>
        <w:br/>
        <w:t>External system processes the same message more than once.</w:t>
        <w:br/>
        <w:t>External systems responds with a positive acknowledgement (ACK) per each processed duplicate.</w:t>
        <w:br/>
        <w:br/>
        <w:t>Best practice</w:t>
        <w:br/>
        <w:t>Guidewire does not treat a message with a non-zero duplicate count any differently than a message with a zero-duplicate count. However, the recommendation is to process duplicates reported by the external system so as to retain as much information as possible about what was sent from the external system.</w:t>
        <w:br/>
        <w:br/>
        <w:t>The code references a method that you can find in the trainingapp.demo.messageac k.MessageAckUtil class in TrainingApp.</w:t>
        <w:br/>
        <w:br/>
        <w:t>As shown later in this presentation, the MessageRepIy plugin interface provides a message finder utility to eliminate the use of an explicit Query against the Message and MessageHistory tables.</w:t>
      </w:r>
    </w:p>
    <w:p>
      <w:pPr>
        <w:pStyle w:val="Heading3"/>
      </w:pPr>
      <w:r>
        <w:rPr>
          <w:sz w:val="24"/>
        </w:rPr>
        <w:t>Slide 22/43: (Untitled)</w:t>
      </w:r>
    </w:p>
    <w:p>
      <w:r>
        <w:rPr>
          <w:i/>
          <w:color w:val="888888"/>
        </w:rPr>
        <w:t>[Image placeholder]</w:t>
      </w:r>
    </w:p>
    <w:p>
      <w:pPr>
        <w:spacing w:before="80" w:after="80"/>
        <w:shd w:fill="E8E8E8" w:val="clear"/>
      </w:pPr>
      <w:r>
        <w:rPr>
          <w:i/>
          <w:color w:val="444444"/>
          <w:sz w:val="18"/>
        </w:rPr>
        <w:t>Speaker Notes: Reporting messages without responses</w:t>
        <w:br/>
        <w:t>Code example</w:t>
        <w:br/>
        <w:t>Lines 24-27</w:t>
        <w:br/>
        <w:t>Query to check for messages that have not received a reply within a timely fashion.</w:t>
        <w:br/>
        <w:t>Line 38</w:t>
        <w:br/>
        <w:t>System flags the Contact with OVERDUE LEGAL REPORT</w:t>
        <w:br/>
        <w:br/>
        <w:t>Periodically, the Message table should be checked for messages that have not received a reply within a timely fashion. This could be a Guidewire custom batch process or a database tool that monitors the Message table. Each message typically requires manual evaluation to determine the cause of the non-response and the appropriate steps to fix the situation.</w:t>
      </w:r>
    </w:p>
    <w:p>
      <w:pPr>
        <w:pStyle w:val="Heading3"/>
      </w:pPr>
      <w:r>
        <w:rPr>
          <w:sz w:val="24"/>
        </w:rPr>
        <w:t>Slide 23/43: (Untitled)</w:t>
      </w:r>
    </w:p>
    <w:p>
      <w:r>
        <w:rPr>
          <w:i/>
          <w:color w:val="888888"/>
        </w:rPr>
        <w:t>[Image placeholder]</w:t>
      </w:r>
    </w:p>
    <w:p>
      <w:pPr>
        <w:pStyle w:val="Heading3"/>
      </w:pPr>
      <w:r>
        <w:rPr>
          <w:sz w:val="24"/>
        </w:rPr>
        <w:t>Slide 24/43: (Untitled)</w:t>
      </w:r>
    </w:p>
    <w:p>
      <w:r>
        <w:rPr>
          <w:i/>
          <w:color w:val="888888"/>
        </w:rPr>
        <w:t>[Image placeholder]</w:t>
      </w:r>
    </w:p>
    <w:p>
      <w:pPr>
        <w:spacing w:before="80" w:after="80"/>
        <w:shd w:fill="E8E8E8" w:val="clear"/>
      </w:pPr>
      <w:r>
        <w:rPr>
          <w:i/>
          <w:color w:val="444444"/>
          <w:sz w:val="18"/>
        </w:rPr>
        <w:t>Speaker Notes: Synchronous acknowledgement — Transport plugin</w:t>
        <w:br/>
        <w:t>Code example</w:t>
        <w:br/>
        <w:t>Line 20</w:t>
        <w:br/>
        <w:t>Synchronou acknowledgment received returning acknowledgment code.</w:t>
        <w:br/>
        <w:t>Lines 25,34</w:t>
        <w:br/>
        <w:t>Message is acknowledged based on ackCode-</w:t>
        <w:br/>
        <w:t>Line 30</w:t>
        <w:br/>
        <w:t>Payload messaging error is reported.</w:t>
        <w:br/>
        <w:br/>
        <w:t>When there is a bank account verification request from an external system, the message is acknowledged synchronously within the message transport plugin's send method. If there no verification (null value), you would want to capture and throw an exception and then report the error.</w:t>
      </w:r>
    </w:p>
    <w:p>
      <w:pPr>
        <w:pStyle w:val="Heading3"/>
      </w:pPr>
      <w:r>
        <w:rPr>
          <w:sz w:val="24"/>
        </w:rPr>
        <w:t>Slide 25/43: (Untitled)</w:t>
      </w:r>
    </w:p>
    <w:p>
      <w:r>
        <w:rPr>
          <w:i/>
          <w:color w:val="888888"/>
        </w:rPr>
        <w:t>[Image placeholder]</w:t>
      </w:r>
    </w:p>
    <w:p>
      <w:pPr>
        <w:spacing w:before="80" w:after="80"/>
        <w:shd w:fill="E8E8E8" w:val="clear"/>
      </w:pPr>
      <w:r>
        <w:rPr>
          <w:i/>
          <w:color w:val="444444"/>
          <w:sz w:val="18"/>
        </w:rPr>
        <w:t>Speaker Notes: Asynchronous acknowledgement - Web service API</w:t>
        <w:br/>
        <w:t>In the base application, MessagingToolsAPl can be used to acknowledge a pending message. However, for a given message, the only thing you can do is acknowledge it or report an error. You cannot execute any associated data changes. Custom web services provide the flexibility to execute any required logic, Guidewire recommends that such acknowledgements should be received through a custom web service API.</w:t>
      </w:r>
    </w:p>
    <w:p>
      <w:pPr>
        <w:pStyle w:val="Heading3"/>
      </w:pPr>
      <w:r>
        <w:rPr>
          <w:sz w:val="24"/>
        </w:rPr>
        <w:t>Slide 26/43: (Untitled)</w:t>
      </w:r>
    </w:p>
    <w:p>
      <w:r>
        <w:rPr>
          <w:i/>
          <w:color w:val="888888"/>
        </w:rPr>
        <w:t>[Image placeholder]</w:t>
      </w:r>
    </w:p>
    <w:p>
      <w:pPr>
        <w:spacing w:before="80" w:after="80"/>
        <w:shd w:fill="E8E8E8" w:val="clear"/>
      </w:pPr>
      <w:r>
        <w:rPr>
          <w:i/>
          <w:color w:val="444444"/>
          <w:sz w:val="18"/>
        </w:rPr>
        <w:t>Speaker Notes: Asynchronous acknowledgement — Reply plugin (I)</w:t>
        <w:br/>
        <w:t>initTools method specified in the reply plugin is executed during server startup. It provides resources that may be useful in processing replies. Like both the request and transport plugins, a reply plugin also includes the same set of lifecycle methods including resume, shutdown, and suspend. Reply plugins also have a set DestinationlD property.</w:t>
        <w:br/>
        <w:br/>
        <w:t>If multiple replies are received for the same message, the replyplugin implementation should not change system state or cause harm.</w:t>
      </w:r>
    </w:p>
    <w:p>
      <w:pPr>
        <w:pStyle w:val="Heading3"/>
      </w:pPr>
      <w:r>
        <w:rPr>
          <w:sz w:val="24"/>
        </w:rPr>
        <w:t>Slide 27/43: (Untitled)</w:t>
      </w:r>
    </w:p>
    <w:p>
      <w:r>
        <w:rPr>
          <w:i/>
          <w:color w:val="888888"/>
        </w:rPr>
        <w:t>[Image placeholder]</w:t>
      </w:r>
    </w:p>
    <w:p>
      <w:pPr>
        <w:spacing w:before="80" w:after="80"/>
        <w:shd w:fill="E8E8E8" w:val="clear"/>
      </w:pPr>
      <w:r>
        <w:rPr>
          <w:i/>
          <w:color w:val="444444"/>
          <w:sz w:val="18"/>
        </w:rPr>
        <w:t>Speaker Notes: Asynchronous acknowledgement — Reply plugin (2)</w:t>
        <w:br/>
        <w:t>Code example</w:t>
        <w:br/>
        <w:t>Line 42</w:t>
        <w:br/>
        <w:t>onMessage method executes message acknowledgment.</w:t>
        <w:br/>
        <w:t>Line 45</w:t>
        <w:br/>
        <w:t>handler provides transactional context.</w:t>
        <w:br/>
        <w:t>Line 46</w:t>
        <w:br/>
        <w:t>Find pending acknowledgment message using SenderReflD and destination.</w:t>
        <w:br/>
        <w:t>Lines 48-55</w:t>
        <w:br/>
        <w:t>Handle duplicate acknowledgment.</w:t>
      </w:r>
    </w:p>
    <w:p>
      <w:pPr>
        <w:pStyle w:val="Heading3"/>
      </w:pPr>
      <w:r>
        <w:rPr>
          <w:sz w:val="24"/>
        </w:rPr>
        <w:t>Slide 28/43: (Untitled)</w:t>
      </w:r>
    </w:p>
    <w:p>
      <w:r>
        <w:rPr>
          <w:i/>
          <w:color w:val="888888"/>
        </w:rPr>
        <w:t>[Image placeholder]</w:t>
      </w:r>
    </w:p>
    <w:p>
      <w:pPr>
        <w:spacing w:before="80" w:after="80"/>
        <w:shd w:fill="E8E8E8" w:val="clear"/>
      </w:pPr>
      <w:r>
        <w:rPr>
          <w:i/>
          <w:color w:val="444444"/>
          <w:sz w:val="18"/>
        </w:rPr>
        <w:t>Speaker Notes: Asynchronous acknowledgement — Reply plugin (3)</w:t>
        <w:br/>
        <w:t>Code example</w:t>
        <w:br/>
        <w:t>Lines 57-68</w:t>
        <w:br/>
        <w:t>Handle errors and acknowledgement based on error type.</w:t>
        <w:br/>
        <w:t>Line 73</w:t>
        <w:br/>
        <w:t>Acknowledge the message. The message will be movedfrom the Message table to the History table.</w:t>
      </w:r>
    </w:p>
    <w:p>
      <w:pPr>
        <w:pStyle w:val="Heading3"/>
      </w:pPr>
      <w:r>
        <w:rPr>
          <w:sz w:val="24"/>
        </w:rPr>
        <w:t>Slide 29/43: (Untitled)</w:t>
      </w:r>
    </w:p>
    <w:p>
      <w:r>
        <w:rPr>
          <w:i/>
          <w:color w:val="888888"/>
        </w:rPr>
        <w:t>[Image placeholder]</w:t>
      </w:r>
    </w:p>
    <w:p>
      <w:pPr>
        <w:spacing w:before="80" w:after="80"/>
        <w:shd w:fill="E8E8E8" w:val="clear"/>
      </w:pPr>
      <w:r>
        <w:rPr>
          <w:i/>
          <w:color w:val="444444"/>
          <w:sz w:val="18"/>
        </w:rPr>
        <w:t>Speaker Notes: Deploy code changes</w:t>
        <w:br/>
        <w:t>You can restart the server from Studio by stopping a running server and after the server stops, then starting the server again in either Run or Debug mode  (preferred for training).</w:t>
      </w:r>
    </w:p>
    <w:p>
      <w:pPr>
        <w:pStyle w:val="Heading3"/>
      </w:pPr>
      <w:r>
        <w:rPr>
          <w:sz w:val="24"/>
        </w:rPr>
        <w:t>Slide 30/43: (Untitled)</w:t>
      </w:r>
    </w:p>
    <w:p>
      <w:r>
        <w:rPr>
          <w:i/>
          <w:color w:val="888888"/>
        </w:rPr>
        <w:t>[Image placeholder]</w:t>
      </w:r>
    </w:p>
    <w:p>
      <w:pPr>
        <w:pStyle w:val="Heading3"/>
      </w:pPr>
      <w:r>
        <w:rPr>
          <w:sz w:val="24"/>
        </w:rPr>
        <w:t>Slide 31/43: (Untitled)</w:t>
      </w:r>
    </w:p>
    <w:p>
      <w:pPr>
        <w:pStyle w:val="Heading3"/>
      </w:pPr>
      <w:r>
        <w:rPr>
          <w:sz w:val="24"/>
        </w:rPr>
        <w:t>Slide 32/43: (Untitled)</w:t>
      </w:r>
    </w:p>
    <w:p>
      <w:r>
        <w:rPr>
          <w:i/>
          <w:color w:val="888888"/>
        </w:rPr>
        <w:t>[Image placeholder]</w:t>
      </w:r>
    </w:p>
    <w:p>
      <w:pPr>
        <w:pStyle w:val="Heading3"/>
      </w:pPr>
      <w:r>
        <w:rPr>
          <w:sz w:val="24"/>
        </w:rPr>
        <w:t>Slide 33/43: (Untitled)</w:t>
      </w:r>
    </w:p>
    <w:p>
      <w:r>
        <w:rPr>
          <w:i/>
          <w:color w:val="888888"/>
        </w:rPr>
        <w:t>[Image placeholder]</w:t>
      </w:r>
    </w:p>
    <w:p>
      <w:pPr>
        <w:pStyle w:val="Heading3"/>
      </w:pPr>
      <w:r>
        <w:rPr>
          <w:sz w:val="24"/>
        </w:rPr>
        <w:t>Slide 34/43: (Untitled)</w:t>
      </w:r>
    </w:p>
    <w:p>
      <w:r>
        <w:rPr>
          <w:i/>
          <w:color w:val="888888"/>
        </w:rPr>
        <w:t>[Image placeholder]</w:t>
      </w:r>
    </w:p>
    <w:p>
      <w:pPr>
        <w:pStyle w:val="Heading3"/>
      </w:pPr>
      <w:r>
        <w:rPr>
          <w:sz w:val="24"/>
        </w:rPr>
        <w:t>Slide 35/43: (Untitled)</w:t>
      </w:r>
    </w:p>
    <w:p>
      <w:r>
        <w:rPr>
          <w:i/>
          <w:color w:val="888888"/>
        </w:rPr>
        <w:t>[Image placeholder]</w:t>
      </w:r>
    </w:p>
    <w:p>
      <w:pPr>
        <w:pStyle w:val="Heading3"/>
      </w:pPr>
      <w:r>
        <w:rPr>
          <w:sz w:val="24"/>
        </w:rPr>
        <w:t>Slide 36/43: (Untitled)</w:t>
      </w:r>
    </w:p>
    <w:p>
      <w:r>
        <w:rPr>
          <w:i/>
          <w:color w:val="888888"/>
        </w:rPr>
        <w:t>[Image placeholder]</w:t>
      </w:r>
    </w:p>
    <w:p>
      <w:pPr>
        <w:pStyle w:val="Heading3"/>
      </w:pPr>
      <w:r>
        <w:rPr>
          <w:sz w:val="24"/>
        </w:rPr>
        <w:t>Slide 37/43: (Untitled)</w:t>
      </w:r>
    </w:p>
    <w:p>
      <w:r>
        <w:rPr>
          <w:i/>
          <w:color w:val="888888"/>
        </w:rPr>
        <w:t>[Image placeholder]</w:t>
      </w:r>
    </w:p>
    <w:p>
      <w:pPr>
        <w:pStyle w:val="Heading3"/>
      </w:pPr>
      <w:r>
        <w:rPr>
          <w:sz w:val="24"/>
        </w:rPr>
        <w:t>Slide 38/43: (Untitled)</w:t>
      </w:r>
    </w:p>
    <w:p>
      <w:r>
        <w:rPr>
          <w:i/>
          <w:color w:val="888888"/>
        </w:rPr>
        <w:t>[Image placeholder]</w:t>
      </w:r>
    </w:p>
    <w:p>
      <w:pPr>
        <w:pStyle w:val="Heading3"/>
      </w:pPr>
      <w:r>
        <w:rPr>
          <w:sz w:val="24"/>
        </w:rPr>
        <w:t>Slide 39/43: (Untitled)</w:t>
      </w:r>
    </w:p>
    <w:p>
      <w:r>
        <w:rPr>
          <w:i/>
          <w:color w:val="888888"/>
        </w:rPr>
        <w:t>[Image placeholder]</w:t>
      </w:r>
    </w:p>
    <w:p>
      <w:pPr>
        <w:pStyle w:val="Heading3"/>
      </w:pPr>
      <w:r>
        <w:rPr>
          <w:sz w:val="24"/>
        </w:rPr>
        <w:t>Slide 40/43: (Untitled)</w:t>
      </w:r>
    </w:p>
    <w:p>
      <w:r>
        <w:rPr>
          <w:i/>
          <w:color w:val="888888"/>
        </w:rPr>
        <w:t>[Image placeholder]</w:t>
      </w:r>
    </w:p>
    <w:p>
      <w:pPr>
        <w:pStyle w:val="Heading3"/>
      </w:pPr>
      <w:r>
        <w:rPr>
          <w:sz w:val="24"/>
        </w:rPr>
        <w:t>Slide 41/43: (Untitled)</w:t>
      </w:r>
    </w:p>
    <w:p>
      <w:r>
        <w:rPr>
          <w:i/>
          <w:color w:val="888888"/>
        </w:rPr>
        <w:t>[Image placeholder]</w:t>
      </w:r>
    </w:p>
    <w:p>
      <w:pPr>
        <w:pStyle w:val="Heading3"/>
      </w:pPr>
      <w:r>
        <w:rPr>
          <w:sz w:val="24"/>
        </w:rPr>
        <w:t>Slide 42/43: (Untitled)</w:t>
      </w:r>
    </w:p>
    <w:p>
      <w:r>
        <w:rPr>
          <w:i/>
          <w:color w:val="888888"/>
        </w:rPr>
        <w:t>[Image placeholder]</w:t>
      </w:r>
    </w:p>
    <w:p>
      <w:pPr>
        <w:pStyle w:val="Heading3"/>
      </w:pPr>
      <w:r>
        <w:rPr>
          <w:sz w:val="24"/>
        </w:rPr>
        <w:t>Slide 43/43: (Untitled)</w:t>
      </w:r>
    </w:p>
    <w:p>
      <w:r>
        <w:rPr>
          <w:i/>
          <w:color w:val="888888"/>
        </w:rPr>
        <w:t>[Image placeholder]</w:t>
      </w:r>
    </w:p>
    <w:p>
      <w:pPr>
        <w:pStyle w:val="Heading2"/>
      </w:pPr>
      <w:r>
        <w:t>Assignment</w:t>
      </w:r>
    </w:p>
    <w:p>
      <w:r>
        <w:rPr>
          <w:b/>
          <w:color w:val="008800"/>
        </w:rPr>
        <w:t>[Assignment 16]: Acknowledging Messages</w:t>
      </w:r>
    </w:p>
    <w:p>
      <w:r>
        <w:rPr>
          <w:i/>
          <w:sz w:val="18"/>
        </w:rPr>
        <w:t>File: 16 - Acknowledging Messages.pdf</w:t>
      </w:r>
    </w:p>
    <w:p/>
    <w:p>
      <w:pPr>
        <w:spacing w:before="240"/>
        <w:jc w:val="center"/>
      </w:pPr>
      <w:r>
        <w:rPr>
          <w:i/>
          <w:color w:val="999999"/>
          <w:sz w:val="16"/>
        </w:rPr>
        <w:t>--- End of Lesson 16: Acknowledging Messages | 43 slides | 19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