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19: Document Management</w:t>
      </w:r>
    </w:p>
    <w:p>
      <w:pPr>
        <w:spacing w:after="40"/>
      </w:pPr>
      <w:r>
        <w:rPr>
          <w:i/>
          <w:color w:val="999999"/>
          <w:sz w:val="16"/>
        </w:rPr>
        <w:t>Source: Document Management.pptx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1/44: (Untitled)</w:t>
      </w:r>
    </w:p>
    <w:p>
      <w:r>
        <w:rPr>
          <w:i/>
          <w:color w:val="888888"/>
        </w:rPr>
        <w:t>[Image placeholder]</w:t>
      </w:r>
    </w:p>
    <w:p>
      <w:pPr>
        <w:pStyle w:val="Heading3"/>
      </w:pPr>
      <w:r>
        <w:rPr>
          <w:sz w:val="24"/>
        </w:rPr>
        <w:t>Slide 2/44: (Untitled)</w:t>
      </w:r>
    </w:p>
    <w:p>
      <w:r>
        <w:rPr>
          <w:i/>
          <w:color w:val="888888"/>
        </w:rPr>
        <w:t>[Image placeholder]</w:t>
      </w:r>
    </w:p>
    <w:p>
      <w:pPr>
        <w:pStyle w:val="Heading3"/>
      </w:pPr>
      <w:r>
        <w:rPr>
          <w:sz w:val="24"/>
        </w:rPr>
        <w:t>Slide 3/44: (Untitled)</w:t>
      </w:r>
    </w:p>
    <w:p>
      <w:r>
        <w:rPr>
          <w:i/>
          <w:color w:val="888888"/>
        </w:rPr>
        <w:t>[Image placeholder]</w:t>
      </w:r>
    </w:p>
    <w:p>
      <w:pPr>
        <w:pStyle w:val="Heading3"/>
      </w:pPr>
      <w:r>
        <w:rPr>
          <w:sz w:val="24"/>
        </w:rPr>
        <w:t>Slide 4/44: (Untitled)</w:t>
      </w:r>
    </w:p>
    <w:p>
      <w:r>
        <w:rPr>
          <w:i/>
          <w:color w:val="888888"/>
        </w:rPr>
        <w:t>[Image placeholder]</w:t>
      </w:r>
    </w:p>
    <w:p>
      <w:pPr>
        <w:pStyle w:val="Heading3"/>
      </w:pPr>
      <w:r>
        <w:rPr>
          <w:sz w:val="24"/>
        </w:rPr>
        <w:t>Slide 5/44: (Untitled)</w:t>
      </w:r>
    </w:p>
    <w:p>
      <w:r>
        <w:rPr>
          <w:i/>
          <w:color w:val="888888"/>
        </w:rPr>
        <w:t>[Image placeholder]</w:t>
      </w:r>
    </w:p>
    <w:p>
      <w:pPr>
        <w:pStyle w:val="Heading3"/>
      </w:pPr>
      <w:r>
        <w:rPr>
          <w:sz w:val="24"/>
        </w:rPr>
        <w:t>Slide 6/44: (Untitled)</w:t>
      </w:r>
    </w:p>
    <w:p>
      <w:r>
        <w:rPr>
          <w:i/>
          <w:color w:val="888888"/>
        </w:rPr>
        <w:t>[Image placeholder]</w:t>
      </w:r>
    </w:p>
    <w:p>
      <w:pPr>
        <w:spacing w:before="80" w:after="80"/>
        <w:shd w:fill="E8E8E8" w:val="clear"/>
      </w:pPr>
      <w:r>
        <w:rPr>
          <w:i/>
          <w:color w:val="444444"/>
          <w:sz w:val="18"/>
        </w:rPr>
        <w:t>Speaker Notes: Content and Metadata</w:t>
        <w:br/>
        <w:t>Document content can be anything that represents incoming or outgoing documents such as a fax image, a Microsoft Word file, a photograph, or a PDF file.</w:t>
        <w:br/>
        <w:br/>
        <w:t>Multipurpose Internet Mail Extensions (MIME) is an Internet standard that extends the format of email to support:</w:t>
        <w:br/>
        <w:t>Text in character sets other than ASCII</w:t>
        <w:br/>
        <w:t>Non-text attachments: audio, video, images, application programs etc.</w:t>
        <w:br/>
        <w:t>Message bodies with multiple parts</w:t>
        <w:br/>
        <w:t>Header information in non-ASCII character sets</w:t>
        <w:br/>
        <w:br/>
        <w:t>Although MIME was designed mainly for SMTP, the content types defined by MIME standards are also of importance in communication protocols outside of email, such as HTTP for the World Wide Web. Servers insert the MIME header at the beginning of any Web transmission. Clients use this content type or media type header to select an appropriate "player" application for the type of data the header indicates. Some of these players are built into the Web client or browser (for example, almost all browsers come with GIF and JPEG image players as well as the ability to handle HTML files)</w:t>
      </w:r>
    </w:p>
    <w:p>
      <w:pPr>
        <w:pStyle w:val="Heading3"/>
      </w:pPr>
      <w:r>
        <w:rPr>
          <w:sz w:val="24"/>
        </w:rPr>
        <w:t>Slide 7/44: (Untitled)</w:t>
      </w:r>
    </w:p>
    <w:p>
      <w:r>
        <w:rPr>
          <w:i/>
          <w:color w:val="888888"/>
        </w:rPr>
        <w:t>[Image placeholder]</w:t>
      </w:r>
    </w:p>
    <w:p>
      <w:pPr>
        <w:pStyle w:val="Heading3"/>
      </w:pPr>
      <w:r>
        <w:rPr>
          <w:sz w:val="24"/>
        </w:rPr>
        <w:t>Slide 8/44: (Untitled)</w:t>
      </w:r>
    </w:p>
    <w:p>
      <w:r>
        <w:rPr>
          <w:i/>
          <w:color w:val="888888"/>
        </w:rPr>
        <w:t>[Image placeholder]</w:t>
      </w:r>
    </w:p>
    <w:p>
      <w:pPr>
        <w:spacing w:before="80" w:after="80"/>
        <w:shd w:fill="E8E8E8" w:val="clear"/>
      </w:pPr>
      <w:r>
        <w:rPr>
          <w:i/>
          <w:color w:val="444444"/>
          <w:sz w:val="18"/>
        </w:rPr>
        <w:t>Speaker Notes: IDocumentContentSource plugin interface</w:t>
        <w:br/>
        <w:t>A significant concern for the IDocumentContentSource plugin is the upload size of document content. This content will usually need to be read from the input stream into memory in some fashion, which can potentially cause the JVM to run out of memory.</w:t>
        <w:br/>
        <w:br/>
        <w:t>In config.xml, you can set a parameter to control file upload size:</w:t>
        <w:br/>
        <w:br/>
        <w:t>The maximum allowable file size (in megabytes) which may be uploaded. Any attempt to upload a file larger than this will fail. Since the uploaded document must be handled on the server, this parameter protects the server from possible memory consumption problems.</w:t>
        <w:br/>
        <w:t>-&gt;</w:t>
        <w:br/>
        <w:t>&lt;param</w:t>
        <w:br/>
        <w:t>name="MaximumFileUploadSize"</w:t>
        <w:br/>
        <w:t>value="25"/&gt;</w:t>
      </w:r>
    </w:p>
    <w:p>
      <w:pPr>
        <w:pStyle w:val="Heading3"/>
      </w:pPr>
      <w:r>
        <w:rPr>
          <w:sz w:val="24"/>
        </w:rPr>
        <w:t>Slide 9/44: (Untitled)</w:t>
      </w:r>
    </w:p>
    <w:p>
      <w:r>
        <w:rPr>
          <w:i/>
          <w:color w:val="888888"/>
        </w:rPr>
        <w:t>[Image placeholder]</w:t>
      </w:r>
    </w:p>
    <w:p>
      <w:pPr>
        <w:spacing w:before="80" w:after="80"/>
        <w:shd w:fill="E8E8E8" w:val="clear"/>
      </w:pPr>
      <w:r>
        <w:rPr>
          <w:i/>
          <w:color w:val="444444"/>
          <w:sz w:val="18"/>
        </w:rPr>
        <w:t>Speaker Notes: IDocumentContentSource plugin interface (Continued)</w:t>
        <w:br/>
        <w:t>Common document object metadata properties that are set:</w:t>
        <w:br/>
        <w:t>DateModified</w:t>
        <w:br/>
        <w:t>DMS, true if there is content stored</w:t>
        <w:br/>
        <w:t>DociJlD</w:t>
        <w:br/>
        <w:t>PubliclD if content is identified differently than metadata</w:t>
        <w:br/>
        <w:t>persistenceRequired is true</w:t>
        <w:br/>
        <w:br/>
        <w:t xml:space="preserve">The IDocumentContentSource implementation may use any fields it wishes to determine where to store the content- It should set the DocUlD field, PubliclD field, or whatever field(s) are being used to uniquely identify the content corresponding to the Document entity- </w:t>
        <w:br/>
        <w:br/>
        <w:t>The application may call the addDocument method with a null InputStream. This can occur as a result of the following scenario:</w:t>
        <w:br/>
        <w:t>1)The user creates a Document entity with some content and clicks Update in the application interface-</w:t>
        <w:br/>
        <w:t>2)The document fails validation for some reason. Guidewire has already read the InputStream and uploaded the document</w:t>
        <w:br/>
        <w:t>3)The user fixes the problem and clicks Update again- Any changes made to the document metadata during the previous call to addDocument method call have been lost. Guidewire calls the addDocument method again so that the IDocumentContentSource plugin has a chance to set any fields such as the DocUlD before the metadata is persisted.</w:t>
      </w:r>
    </w:p>
    <w:p>
      <w:pPr>
        <w:pStyle w:val="Heading3"/>
      </w:pPr>
      <w:r>
        <w:rPr>
          <w:sz w:val="24"/>
        </w:rPr>
        <w:t>Slide 10/44: (Untitled)</w:t>
      </w:r>
    </w:p>
    <w:p>
      <w:r>
        <w:rPr>
          <w:i/>
          <w:color w:val="888888"/>
        </w:rPr>
        <w:t>[Image placeholder]</w:t>
      </w:r>
    </w:p>
    <w:p>
      <w:pPr>
        <w:spacing w:before="80" w:after="80"/>
        <w:shd w:fill="E8E8E8" w:val="clear"/>
      </w:pPr>
      <w:r>
        <w:rPr>
          <w:i/>
          <w:color w:val="444444"/>
          <w:sz w:val="18"/>
        </w:rPr>
        <w:t>Speaker Notes: IDocumentContentSource plugin interface (Continued)</w:t>
        <w:br/>
        <w:t>To update the contents of an existing document in the DMS system, call the updateDocument method. This is separate from the addDocument method because the semantics are different, especially regarding name and other unique fields. Whether or not the metadata is stored, the DMS system should update any appropriate data, including version information (if any) and date modified. The InputStream will contain the new contents tobe stored in the DMS- The same identifying fields which are set by the addDocument method should be used to determine which content to update. Any versioning is completely up to the implementation. No version information will be set on the Document entity by Guidewire, but the IDocumentContentSource implementation may set version- related fields on the Document entity with the expectation that changes to the Document entity will then be persisted by the application.</w:t>
      </w:r>
    </w:p>
    <w:p>
      <w:pPr>
        <w:pStyle w:val="Heading3"/>
      </w:pPr>
      <w:r>
        <w:rPr>
          <w:sz w:val="24"/>
        </w:rPr>
        <w:t>Slide 11/44: (Untitled)</w:t>
      </w:r>
    </w:p>
    <w:p>
      <w:r>
        <w:rPr>
          <w:i/>
          <w:color w:val="888888"/>
        </w:rPr>
        <w:t>[Image placeholder]</w:t>
      </w:r>
    </w:p>
    <w:p>
      <w:pPr>
        <w:pStyle w:val="Heading3"/>
      </w:pPr>
      <w:r>
        <w:rPr>
          <w:sz w:val="24"/>
        </w:rPr>
        <w:t>Slide 12/44: (Untitled)</w:t>
      </w:r>
    </w:p>
    <w:p>
      <w:r>
        <w:rPr>
          <w:i/>
          <w:color w:val="888888"/>
        </w:rPr>
        <w:t>[Image placeholder]</w:t>
      </w:r>
    </w:p>
    <w:p>
      <w:pPr>
        <w:spacing w:before="80" w:after="80"/>
        <w:shd w:fill="E8E8E8" w:val="clear"/>
      </w:pPr>
      <w:r>
        <w:rPr>
          <w:i/>
          <w:color w:val="444444"/>
          <w:sz w:val="18"/>
        </w:rPr>
        <w:t>Speaker Notes: IDocumentContentSource plugin interface (Continued)</w:t>
        <w:br/>
        <w:t>To retrieve the contents of a document, call the getDocumentContentslnfo method. The Document entity itself should not be modifiedas any changes made are not guaranteed to be persisted. The boolean argument to include contents should be true if the caller wants the DocumentContentslnfo object to include an InputStream with the contents of the document. If it is false, then the InputStream in the returned DocumentContentslnfo object will be null. The Boolean should be false in situations where only the metadata is required. The getDocumentContentslnfo method retums a DocumentContentslnfo object. The application calls some methods in a IDocumentContentSource plugin twice for each document isDocument and getDocumentContentslnfo. Your plugin implementation must support this design.</w:t>
        <w:br/>
        <w:br/>
        <w:t xml:space="preserve">Content Response Types Use DOCUMENT CONTENTS when the DMS system returns the pure contents of the document. DOCUMENT CONTENTS is supported in all situations and is the only valid type of response when Gosu creates a document.  DOCUMENT CONTENTS is compatible with the  Edit/Upload buttons in the base Documents page. </w:t>
        <w:br/>
        <w:t xml:space="preserve">inputStream – Must contain the contents of the document. </w:t>
        <w:br/>
        <w:t xml:space="preserve">responseMimeType - Should contain the mime type of the document </w:t>
        <w:br/>
        <w:t>targetHiddenFrame – Not relevant for this content type, may be ignored. Opens content in a hidden frame if true for other content types.</w:t>
        <w:br/>
        <w:br/>
        <w:t>Use the URL type when the DMS integration code will return a URL which, when accessed, will somehow display the document contents. It may be a URL to the contents directly, or to a web page which uses a script or a web control to display the document contents. Use the IJRL type for when the client, based on physical location, need to be redirected to a local cache of document contents.</w:t>
        <w:br/>
        <w:t>inputStream – Must contain the URL</w:t>
        <w:br/>
        <w:t>responseMimeType – Not applicable, may beignored</w:t>
        <w:br/>
        <w:t>targetHiddenFrame – Must be true or false depending on whether the URL returned should be opened in a new window or in a hidden frame.</w:t>
      </w:r>
    </w:p>
    <w:p>
      <w:pPr>
        <w:pStyle w:val="Heading3"/>
      </w:pPr>
      <w:r>
        <w:rPr>
          <w:sz w:val="24"/>
        </w:rPr>
        <w:t>Slide 13/44: (Untitled)</w:t>
      </w:r>
    </w:p>
    <w:p>
      <w:r>
        <w:rPr>
          <w:i/>
          <w:color w:val="888888"/>
        </w:rPr>
        <w:t>[Image placeholder]</w:t>
      </w:r>
    </w:p>
    <w:p>
      <w:pPr>
        <w:spacing w:before="80" w:after="80"/>
        <w:shd w:fill="E8E8E8" w:val="clear"/>
      </w:pPr>
      <w:r>
        <w:rPr>
          <w:i/>
          <w:color w:val="444444"/>
          <w:sz w:val="18"/>
        </w:rPr>
        <w:t>Speaker Notes: IDocumentContentSource plugin interface (Continued)</w:t>
        <w:br/>
        <w:t>isDocument method Used to determine whether the DMS system contains contentcorresponding to the DoclJlD orcustomer-specific field(s) identifying the content. The isDocument method implementation returns true when the backing DMS system already contains content corresponding to the appropriate fields on the Document entity, otherwise the method retums false. The application calls some methods in a IDocumentContentSource plugin twice for each document isDocument and getDocumentContentslnfo. Your plugin implementation must support this design.</w:t>
      </w:r>
    </w:p>
    <w:p>
      <w:pPr>
        <w:pStyle w:val="Heading3"/>
      </w:pPr>
      <w:r>
        <w:rPr>
          <w:sz w:val="24"/>
        </w:rPr>
        <w:t>Slide 14/44: (Untitled)</w:t>
      </w:r>
    </w:p>
    <w:p>
      <w:r>
        <w:rPr>
          <w:i/>
          <w:color w:val="888888"/>
        </w:rPr>
        <w:t>[Image placeholder]</w:t>
      </w:r>
    </w:p>
    <w:p>
      <w:pPr>
        <w:pStyle w:val="Heading3"/>
      </w:pPr>
      <w:r>
        <w:rPr>
          <w:sz w:val="24"/>
        </w:rPr>
        <w:t>Slide 15/44: (Untitled)</w:t>
      </w:r>
    </w:p>
    <w:p>
      <w:r>
        <w:rPr>
          <w:i/>
          <w:color w:val="888888"/>
        </w:rPr>
        <w:t>[Image placeholder]</w:t>
      </w:r>
    </w:p>
    <w:p>
      <w:pPr>
        <w:spacing w:before="80" w:after="80"/>
        <w:shd w:fill="E8E8E8" w:val="clear"/>
      </w:pPr>
      <w:r>
        <w:rPr>
          <w:i/>
          <w:color w:val="444444"/>
          <w:sz w:val="18"/>
        </w:rPr>
        <w:t>Speaker Notes: IDocumentMetadata Source plugin interface (Continued)</w:t>
        <w:br/>
        <w:t>Usually called to populate a list of documents, such as the documents list view panel, the searchDocumentsmethod retrieves the set of documents which match the given search criteria-</w:t>
        <w:br/>
        <w:t xml:space="preserve"> The DocumentSearchCriteria values indicate the set of documents that should be returned.</w:t>
        <w:br/>
        <w:t>The RemotableSearchResultS pec is an object which contains sorting and paging information for the search so that the results can be manipulated by the list view. The DocumentSearchResult object encapsulates a set of Document objects containing information about the documents matching the search criteria. Since the results will be displayed in a list,the Document objects returned need not be fully populated. The objects must have all properties set which will be used inthe lists and any properties which would be required to retrieve the contents or a detail view of the document.</w:t>
        <w:br/>
        <w:t>GetNumResultsOnly — A boolean value that specifies whether to return only the number of results</w:t>
        <w:br/>
        <w:t>SortColumns — An array of RemotableSortColumn objects that define the sort order</w:t>
        <w:br/>
        <w:t>StartRow — The start row, as an int value</w:t>
        <w:br/>
        <w:t>MaxResults — Maximum results to return at one time, as an int value</w:t>
        <w:br/>
        <w:t>IncludeTotal — A Boolean value that specifieswhether to return thenumber of search results in the TotalResults property.</w:t>
      </w:r>
    </w:p>
    <w:p>
      <w:pPr>
        <w:pStyle w:val="Heading3"/>
      </w:pPr>
      <w:r>
        <w:rPr>
          <w:sz w:val="24"/>
        </w:rPr>
        <w:t>Slide 16/44: (Untitled)</w:t>
      </w:r>
    </w:p>
    <w:p>
      <w:r>
        <w:rPr>
          <w:i/>
          <w:color w:val="888888"/>
        </w:rPr>
        <w:t>[Image placeholder]</w:t>
      </w:r>
    </w:p>
    <w:p>
      <w:pPr>
        <w:spacing w:before="80" w:after="80"/>
        <w:shd w:fill="E8E8E8" w:val="clear"/>
      </w:pPr>
      <w:r>
        <w:rPr>
          <w:i/>
          <w:color w:val="444444"/>
          <w:sz w:val="18"/>
        </w:rPr>
        <w:t>Speaker Notes: IDocumentMetadata Source plugin interface (Continued)</w:t>
        <w:br/>
        <w:t>retrieveDocument method To display the complete metadata for a document, call the retrieveDocument method. The retrieveDocument method retrieves the complete metadata for a single document. The returned document should be completely populated. The DocUlD value of the Document entity being retrieved is unique and is set as the value of the Document entity's DoclJlD property- It uniquely identifies the document on the external DMS to return the appropriate metadata.  In addition to containing the retrieved metadata, the internal properties of the  Document object must be initialized by calling the following methods.</w:t>
        <w:br/>
        <w:br/>
        <w:t xml:space="preserve"> DocumentsUtilBase.initOri ginalVaIues — The method accepts the Document object as an argument.  </w:t>
        <w:br/>
        <w:t>The Document object’s setRetrievedFromlDMS method — The method takes no arguments. It performs the following operations</w:t>
        <w:br/>
        <w:t>Marks the Document ashaving been initialized from the document management system-</w:t>
        <w:br/>
        <w:t>The method sets doc.PersistenceReq uired to false and marks the document as coming from the IDocumentMetadata Source plugin.</w:t>
        <w:br/>
        <w:t>Initializes the Document entity’s internal flag indicating that the Document does notcurrently need to be persisted.</w:t>
        <w:br/>
        <w:br/>
        <w:t>saveDocument method To persist either a new Document's metadata or changes made to the metadata for an existing Document, call the saveDocument method after the IDocumentContentSource interface has persisted the document contents. This is not necessary, however, if the IDocumentContentSource interface handles metadata persistence itself- The saveDocument method is also called in the case ofsaving metadata changes to an inferred document (null document reference). The Document parameter represents the new set of metadata to be saved to the backing DMS system.</w:t>
        <w:br/>
        <w:br/>
        <w:t>removeDocument method When the user indicates that a Document should be permanently removed from the Guidewire application, call the removeDocument method. If the document metadata stored in the DMS is referenced from multiple objects (like Claims) in the InsuranceSuite application, it is up to the DMS system to do whatever reference counting or other mechanism is required to remove the Document from one context but not another. The Document parameter represents the document to be removed</w:t>
      </w:r>
    </w:p>
    <w:p>
      <w:pPr>
        <w:pStyle w:val="Heading3"/>
      </w:pPr>
      <w:r>
        <w:rPr>
          <w:sz w:val="24"/>
        </w:rPr>
        <w:t>Slide 17/44: (Untitled)</w:t>
      </w:r>
    </w:p>
    <w:p>
      <w:r>
        <w:rPr>
          <w:i/>
          <w:color w:val="888888"/>
        </w:rPr>
        <w:t>[Image placeholder]</w:t>
      </w:r>
    </w:p>
    <w:p>
      <w:pPr>
        <w:spacing w:before="80" w:after="80"/>
        <w:shd w:fill="E8E8E8" w:val="clear"/>
      </w:pPr>
      <w:r>
        <w:rPr>
          <w:i/>
          <w:color w:val="444444"/>
          <w:sz w:val="18"/>
        </w:rPr>
        <w:t>Speaker Notes: IDocumentMetadata Source plugin interface (Continued)</w:t>
        <w:br/>
        <w:t>retrieveDocument method To display the complete metadata for a document, call the retrieveDocument method. The retrieveDocument method retrieves the complete metadata for a single document. The returned document should be completely populated. The DocUlD value of the Document entity being retrieved is unique and is set as the value of the Document entity's DoclJlD property- It uniquely identifies the document on the external DMS to return the appropriate metadata.  In addition to containing the retrieved metadata, the internal properties of the  Document object must be initialized by calling the following methods.</w:t>
        <w:br/>
        <w:br/>
        <w:t xml:space="preserve"> DocumentsUtilBase.initOri ginalVaIues — The method accepts the Document object as an argument.  </w:t>
        <w:br/>
        <w:t>The Document object’s setRetrievedFromlDMS method — The method takes no arguments. It performs the following operations</w:t>
        <w:br/>
        <w:t>Marks the Document ashaving been initialized from the document management system-</w:t>
        <w:br/>
        <w:t>The method sets doc.PersistenceReq uired to false and marks the document as coming from the IDocumentMetadata Source plugin.</w:t>
        <w:br/>
        <w:t>Initializes the Document entity’s internal flag indicating that the Document does notcurrently need to be persisted.</w:t>
        <w:br/>
        <w:br/>
        <w:t>saveDocument method To persist either a new Document's metadata or changes made to the metadata for an existing Document, call the saveDocument method after the IDocumentContentSource interface has persisted the document contents. This is not necessary, however, if the IDocumentContentSource interface handles metadata persistence itself- The saveDocument method is also called in the case ofsaving metadata changes to an inferred document (null document reference). The Document parameter represents the new set of metadata to be saved to the backing DMS system.</w:t>
        <w:br/>
        <w:br/>
        <w:t>removeDocument method When the user indicates that a Document should be permanently removed from the Guidewire application, call the removeDocument method. If the document metadata stored in the DMS is referenced from multiple objects (like Claims) in the InsuranceSuite application, it is up to the DMS system to do whatever reference counting or other mechanism is required to remove the Document from one context but not another. The Document parameter represents the document to be removed</w:t>
      </w:r>
    </w:p>
    <w:p>
      <w:pPr>
        <w:pStyle w:val="Heading3"/>
      </w:pPr>
      <w:r>
        <w:rPr>
          <w:sz w:val="24"/>
        </w:rPr>
        <w:t>Slide 18/44: (Untitled)</w:t>
      </w:r>
    </w:p>
    <w:p>
      <w:r>
        <w:rPr>
          <w:i/>
          <w:color w:val="888888"/>
        </w:rPr>
        <w:t>[Image placeholder]</w:t>
      </w:r>
    </w:p>
    <w:p>
      <w:pPr>
        <w:pStyle w:val="Heading3"/>
      </w:pPr>
      <w:r>
        <w:rPr>
          <w:sz w:val="24"/>
        </w:rPr>
        <w:t>Slide 19/44: (Untitled)</w:t>
      </w:r>
    </w:p>
    <w:p>
      <w:r>
        <w:rPr>
          <w:i/>
          <w:color w:val="888888"/>
        </w:rPr>
        <w:t>[Image placeholder]</w:t>
      </w:r>
    </w:p>
    <w:p>
      <w:pPr>
        <w:pStyle w:val="Heading3"/>
      </w:pPr>
      <w:r>
        <w:rPr>
          <w:sz w:val="24"/>
        </w:rPr>
        <w:t>Slide 20/44: (Untitled)</w:t>
      </w:r>
    </w:p>
    <w:p>
      <w:r>
        <w:rPr>
          <w:i/>
          <w:color w:val="888888"/>
        </w:rPr>
        <w:t>[Image placeholder]</w:t>
      </w:r>
    </w:p>
    <w:p>
      <w:pPr>
        <w:spacing w:before="80" w:after="80"/>
        <w:shd w:fill="E8E8E8" w:val="clear"/>
      </w:pPr>
      <w:r>
        <w:rPr>
          <w:i/>
          <w:color w:val="444444"/>
          <w:sz w:val="18"/>
        </w:rPr>
        <w:t>Speaker Notes: InsuranceSuite default DMS implementations</w:t>
        <w:br/>
        <w:t>In ClaimCenter, see the getSubDirForDocument() method in the AsyncDocumentContentSource Gosu class for how the files are created and stored in sub-  directories.</w:t>
      </w:r>
    </w:p>
    <w:p>
      <w:pPr>
        <w:pStyle w:val="Heading3"/>
      </w:pPr>
      <w:r>
        <w:rPr>
          <w:sz w:val="24"/>
        </w:rPr>
        <w:t>Slide 21/44: (Untitled)</w:t>
      </w:r>
    </w:p>
    <w:p>
      <w:r>
        <w:rPr>
          <w:i/>
          <w:color w:val="888888"/>
        </w:rPr>
        <w:t>[Image placeholder]</w:t>
      </w:r>
    </w:p>
    <w:p>
      <w:pPr>
        <w:pStyle w:val="Heading3"/>
      </w:pPr>
      <w:r>
        <w:rPr>
          <w:sz w:val="24"/>
        </w:rPr>
        <w:t>Slide 22/44: (Untitled)</w:t>
      </w:r>
    </w:p>
    <w:p>
      <w:r>
        <w:rPr>
          <w:i/>
          <w:color w:val="888888"/>
        </w:rPr>
        <w:t>[Image placeholder]</w:t>
      </w:r>
    </w:p>
    <w:p>
      <w:pPr>
        <w:pStyle w:val="Heading3"/>
      </w:pPr>
      <w:r>
        <w:rPr>
          <w:sz w:val="24"/>
        </w:rPr>
        <w:t>Slide 23/44: (Untitled)</w:t>
      </w:r>
    </w:p>
    <w:p>
      <w:r>
        <w:rPr>
          <w:i/>
          <w:color w:val="888888"/>
        </w:rPr>
        <w:t>[Image placeholder]</w:t>
      </w:r>
    </w:p>
    <w:p>
      <w:pPr>
        <w:pStyle w:val="Heading3"/>
      </w:pPr>
      <w:r>
        <w:rPr>
          <w:sz w:val="24"/>
        </w:rPr>
        <w:t>Slide 24/44: (Untitled)</w:t>
      </w:r>
    </w:p>
    <w:p>
      <w:r>
        <w:rPr>
          <w:i/>
          <w:color w:val="888888"/>
        </w:rPr>
        <w:t>[Image placeholder]</w:t>
      </w:r>
    </w:p>
    <w:p>
      <w:pPr>
        <w:pStyle w:val="Heading3"/>
      </w:pPr>
      <w:r>
        <w:rPr>
          <w:sz w:val="24"/>
        </w:rPr>
        <w:t>Slide 25/44: (Untitled)</w:t>
      </w:r>
    </w:p>
    <w:p>
      <w:r>
        <w:rPr>
          <w:i/>
          <w:color w:val="888888"/>
        </w:rPr>
        <w:t>[Image placeholder]</w:t>
      </w:r>
    </w:p>
    <w:p>
      <w:pPr>
        <w:pStyle w:val="Heading3"/>
      </w:pPr>
      <w:r>
        <w:rPr>
          <w:sz w:val="24"/>
        </w:rPr>
        <w:t>Slide 26/44: (Untitled)</w:t>
      </w:r>
    </w:p>
    <w:p>
      <w:r>
        <w:rPr>
          <w:i/>
          <w:color w:val="888888"/>
        </w:rPr>
        <w:t>[Image placeholder]</w:t>
      </w:r>
    </w:p>
    <w:p>
      <w:pPr>
        <w:spacing w:before="80" w:after="80"/>
        <w:shd w:fill="E8E8E8" w:val="clear"/>
      </w:pPr>
      <w:r>
        <w:rPr>
          <w:i/>
          <w:color w:val="444444"/>
          <w:sz w:val="18"/>
        </w:rPr>
        <w:t>Speaker Notes: First DMS integration option (Continued)</w:t>
        <w:br/>
        <w:t>The complete set of lifecycle calls is:</w:t>
        <w:br/>
        <w:t>New document with content. Can be atemplate or locate file reference- Calls add Document method with a non-null input stream.</w:t>
        <w:br/>
        <w:t>New document with content fails validation after content is uploaded. User resubmits. Calls add Document method with null input stream*.</w:t>
        <w:br/>
        <w:t>New document with no content. The document is inferred or is indicated- Calls save Document method.</w:t>
        <w:br/>
        <w:t>Edit document with content from a user interface- User can change content only- Calls update eDocument method with Input Stream.</w:t>
        <w:br/>
        <w:t>Edit document with content from a user interface- Edits metadata only. Calls save Document mehtod.</w:t>
        <w:br/>
        <w:t>Edit document with content from a user interface- Change (swap) content only. Calls add Document method with input stream.</w:t>
        <w:br/>
        <w:t>Edit document with content from a user interface- Change content and metadata. Calls add Document method with input stream. Unless a retry of failed update,  then no stream.</w:t>
        <w:br/>
        <w:t xml:space="preserve">Edit document with no content from a user interface- </w:t>
        <w:br/>
        <w:t xml:space="preserve">Edits only metadata. Calls save Document method. </w:t>
        <w:br/>
        <w:t>The rather unexpected add Document method calls made from the document detail view panel when "swapping“ content illustrates the use case for when the new content does not yet exist on the DMS. An upload of edited content from the user interface might require the DMS to save the document, notate a version change of the edited content, and replace the bytes.</w:t>
        <w:br/>
        <w:br/>
        <w:t>There can be a null input stream due to the content having already been uploaded. When this occurs, the add Document and update Document methods need to make any required metadata changes and not attempt to modify or remove any existing content.</w:t>
      </w:r>
    </w:p>
    <w:p>
      <w:pPr>
        <w:pStyle w:val="Heading3"/>
      </w:pPr>
      <w:r>
        <w:rPr>
          <w:sz w:val="24"/>
        </w:rPr>
        <w:t>Slide 27/44: (Untitled)</w:t>
      </w:r>
    </w:p>
    <w:p>
      <w:r>
        <w:rPr>
          <w:i/>
          <w:color w:val="888888"/>
        </w:rPr>
        <w:t>[Image placeholder]</w:t>
      </w:r>
    </w:p>
    <w:p>
      <w:pPr>
        <w:spacing w:before="80" w:after="80"/>
        <w:shd w:fill="E8E8E8" w:val="clear"/>
      </w:pPr>
      <w:r>
        <w:rPr>
          <w:i/>
          <w:color w:val="444444"/>
          <w:sz w:val="18"/>
        </w:rPr>
        <w:t>Speaker Notes: First DMS integration option (Continued)</w:t>
        <w:br/>
        <w:t>The complete set of lifecycle calls is:</w:t>
        <w:br/>
        <w:t>New document with content. Can be atemplate or locate file reference- Calls add Document method with a non-null input stream.</w:t>
        <w:br/>
        <w:t>New document with content fails validation after content is uploaded. User resubmits. Calls add Document method with null input stream*.</w:t>
        <w:br/>
        <w:t>New document with no content. The document is inferred or is indicated- Calls save Document method.</w:t>
        <w:br/>
        <w:t>Edit document with content from a user interface- User can change content only- Calls update eDocument method with Input Stream.</w:t>
        <w:br/>
        <w:t>Edit document with content from a user interface- Edits metadata only. Calls save Document mehtod.</w:t>
        <w:br/>
        <w:t>Edit document with content from a user interface- Change (swap) content only. Calls add Document method with input stream.</w:t>
        <w:br/>
        <w:t>Edit document with content from a user interface- Change content and metadata. Calls add Document method with input stream. Unless a retry of failed update,  then no stream.</w:t>
        <w:br/>
        <w:t xml:space="preserve">Edit document with no content from a user interface- </w:t>
        <w:br/>
        <w:t xml:space="preserve">Edits only metadata. Calls save Document method. </w:t>
        <w:br/>
        <w:t>The rather unexpected add Document method calls made from the document detail view panel when "swapping“ content illustrates the use case for when the new content does not yet exist on the DMS. An upload of edited content from the user interface might require the DMS to save the document, notate a version change of the edited content, and replace the bytes.</w:t>
        <w:br/>
        <w:br/>
        <w:t>There can be a null input stream due to the content having already been uploaded. When this occurs, the add Document and update Document methods need to make any required metadata changes and not attempt to modify or remove any existing content.</w:t>
      </w:r>
    </w:p>
    <w:p>
      <w:pPr>
        <w:pStyle w:val="Heading3"/>
      </w:pPr>
      <w:r>
        <w:rPr>
          <w:sz w:val="24"/>
        </w:rPr>
        <w:t>Slide 28/44: (Untitled)</w:t>
      </w:r>
    </w:p>
    <w:p>
      <w:r>
        <w:rPr>
          <w:i/>
          <w:color w:val="888888"/>
        </w:rPr>
        <w:t>[Image placeholder]</w:t>
      </w:r>
    </w:p>
    <w:p>
      <w:pPr>
        <w:pStyle w:val="Heading3"/>
      </w:pPr>
      <w:r>
        <w:rPr>
          <w:sz w:val="24"/>
        </w:rPr>
        <w:t>Slide 29/44: (Untitled)</w:t>
      </w:r>
    </w:p>
    <w:p>
      <w:r>
        <w:rPr>
          <w:i/>
          <w:color w:val="888888"/>
        </w:rPr>
        <w:t>[Image placeholder]</w:t>
      </w:r>
    </w:p>
    <w:p>
      <w:pPr>
        <w:pStyle w:val="Heading3"/>
      </w:pPr>
      <w:r>
        <w:rPr>
          <w:sz w:val="24"/>
        </w:rPr>
        <w:t>Slide 30/44: (Untitled)</w:t>
      </w:r>
    </w:p>
    <w:p>
      <w:r>
        <w:rPr>
          <w:i/>
          <w:color w:val="888888"/>
        </w:rPr>
        <w:t>[Image placeholder]</w:t>
      </w:r>
    </w:p>
    <w:p>
      <w:pPr>
        <w:pStyle w:val="Heading3"/>
      </w:pPr>
      <w:r>
        <w:rPr>
          <w:sz w:val="24"/>
        </w:rPr>
        <w:t>Slide 31/44: (Untitled)</w:t>
      </w:r>
    </w:p>
    <w:p>
      <w:r>
        <w:rPr>
          <w:i/>
          <w:color w:val="888888"/>
        </w:rPr>
        <w:t>[Image placeholder]</w:t>
      </w:r>
    </w:p>
    <w:p>
      <w:pPr>
        <w:pStyle w:val="Heading3"/>
      </w:pPr>
      <w:r>
        <w:rPr>
          <w:sz w:val="24"/>
        </w:rPr>
        <w:t>Slide 32/44: (Untitled)</w:t>
      </w:r>
    </w:p>
    <w:p>
      <w:r>
        <w:rPr>
          <w:i/>
          <w:color w:val="888888"/>
        </w:rPr>
        <w:t>[Image placeholder]</w:t>
      </w:r>
    </w:p>
    <w:p>
      <w:pPr>
        <w:pStyle w:val="Heading3"/>
      </w:pPr>
      <w:r>
        <w:rPr>
          <w:sz w:val="24"/>
        </w:rPr>
        <w:t>Slide 33/44: (Untitled)</w:t>
      </w:r>
    </w:p>
    <w:p>
      <w:r>
        <w:rPr>
          <w:i/>
          <w:color w:val="888888"/>
        </w:rPr>
        <w:t>[Image placeholder]</w:t>
      </w:r>
    </w:p>
    <w:p>
      <w:pPr>
        <w:pStyle w:val="Heading3"/>
      </w:pPr>
      <w:r>
        <w:rPr>
          <w:sz w:val="24"/>
        </w:rPr>
        <w:t>Slide 34/44: (Untitled)</w:t>
      </w:r>
    </w:p>
    <w:p>
      <w:r>
        <w:rPr>
          <w:i/>
          <w:color w:val="888888"/>
        </w:rPr>
        <w:t>[Image placeholder]</w:t>
      </w:r>
    </w:p>
    <w:p>
      <w:pPr>
        <w:pStyle w:val="Heading3"/>
      </w:pPr>
      <w:r>
        <w:rPr>
          <w:sz w:val="24"/>
        </w:rPr>
        <w:t>Slide 35/44: (Untitled)</w:t>
      </w:r>
    </w:p>
    <w:p>
      <w:r>
        <w:rPr>
          <w:i/>
          <w:color w:val="888888"/>
        </w:rPr>
        <w:t>[Image placeholder]</w:t>
      </w:r>
    </w:p>
    <w:p>
      <w:pPr>
        <w:spacing w:before="80" w:after="80"/>
        <w:shd w:fill="E8E8E8" w:val="clear"/>
      </w:pPr>
      <w:r>
        <w:rPr>
          <w:i/>
          <w:color w:val="444444"/>
          <w:sz w:val="18"/>
        </w:rPr>
        <w:t>Speaker Notes: Document related SOAP APIs</w:t>
        <w:br/>
        <w:t>*The document related APIs do not differentiate adding Documents from updates. For example, there are only addDocument or similar methods.</w:t>
        <w:br/>
        <w:br/>
        <w:t>When the document related APIs are used by an external client, the assumption is that the incoming documenfs content hasbeen handled separately and already exists on the DMS.</w:t>
        <w:br/>
        <w:br/>
        <w:t>In order to match the entity metadata with its content, the corresponding identifier (often the DocUlD property) that is used to locate the content on the DMS should be set on the SOAP Document entity</w:t>
        <w:br/>
        <w:br/>
        <w:t>During an API call to add a document, the document metadata source plugin calls saveDocument method to handle the metadata for the incoming Document entity The document content source plugin is not called.</w:t>
        <w:br/>
        <w:br/>
        <w:t>If you implement saveDocument method such that an update on an existing document can be differentiated from the addition of an entirely new document, use the incoming document’s PubliclD or DocUlD properties to determine if the document was already saved into Guidewire.</w:t>
      </w:r>
    </w:p>
    <w:p>
      <w:pPr>
        <w:pStyle w:val="Heading3"/>
      </w:pPr>
      <w:r>
        <w:rPr>
          <w:sz w:val="24"/>
        </w:rPr>
        <w:t>Slide 36/44: (Untitled)</w:t>
      </w:r>
    </w:p>
    <w:p>
      <w:r>
        <w:rPr>
          <w:i/>
          <w:color w:val="888888"/>
        </w:rPr>
        <w:t>[Image placeholder]</w:t>
      </w:r>
    </w:p>
    <w:p>
      <w:pPr>
        <w:pStyle w:val="Heading3"/>
      </w:pPr>
      <w:r>
        <w:rPr>
          <w:sz w:val="24"/>
        </w:rPr>
        <w:t>Slide 37/44: (Untitled)</w:t>
      </w:r>
    </w:p>
    <w:p>
      <w:r>
        <w:rPr>
          <w:i/>
          <w:color w:val="888888"/>
        </w:rPr>
        <w:t>[Image placeholder]</w:t>
      </w:r>
    </w:p>
    <w:p>
      <w:pPr>
        <w:pStyle w:val="Heading3"/>
      </w:pPr>
      <w:r>
        <w:rPr>
          <w:sz w:val="24"/>
        </w:rPr>
        <w:t>Slide 38/44: (Untitled)</w:t>
      </w:r>
    </w:p>
    <w:p>
      <w:pPr>
        <w:pStyle w:val="Heading3"/>
      </w:pPr>
      <w:r>
        <w:rPr>
          <w:sz w:val="24"/>
        </w:rPr>
        <w:t>Slide 39/44: (Untitled)</w:t>
      </w:r>
    </w:p>
    <w:p>
      <w:r>
        <w:rPr>
          <w:i/>
          <w:color w:val="888888"/>
        </w:rPr>
        <w:t>[Image placeholder]</w:t>
      </w:r>
    </w:p>
    <w:p>
      <w:pPr>
        <w:pStyle w:val="Heading3"/>
      </w:pPr>
      <w:r>
        <w:rPr>
          <w:sz w:val="24"/>
        </w:rPr>
        <w:t>Slide 40/44: (Untitled)</w:t>
      </w:r>
    </w:p>
    <w:p>
      <w:r>
        <w:rPr>
          <w:i/>
          <w:color w:val="888888"/>
        </w:rPr>
        <w:t>[Image placeholder]</w:t>
      </w:r>
    </w:p>
    <w:p>
      <w:pPr>
        <w:pStyle w:val="Heading3"/>
      </w:pPr>
      <w:r>
        <w:rPr>
          <w:sz w:val="24"/>
        </w:rPr>
        <w:t>Slide 41/44: (Untitled)</w:t>
      </w:r>
    </w:p>
    <w:p>
      <w:r>
        <w:rPr>
          <w:i/>
          <w:color w:val="888888"/>
        </w:rPr>
        <w:t>[Image placeholder]</w:t>
      </w:r>
    </w:p>
    <w:p>
      <w:pPr>
        <w:pStyle w:val="Heading3"/>
      </w:pPr>
      <w:r>
        <w:rPr>
          <w:sz w:val="24"/>
        </w:rPr>
        <w:t>Slide 42/44: (Untitled)</w:t>
      </w:r>
    </w:p>
    <w:p>
      <w:r>
        <w:rPr>
          <w:i/>
          <w:color w:val="888888"/>
        </w:rPr>
        <w:t>[Image placeholder]</w:t>
      </w:r>
    </w:p>
    <w:p>
      <w:pPr>
        <w:pStyle w:val="Heading3"/>
      </w:pPr>
      <w:r>
        <w:rPr>
          <w:sz w:val="24"/>
        </w:rPr>
        <w:t>Slide 43/44: (Untitled)</w:t>
      </w:r>
    </w:p>
    <w:p>
      <w:r>
        <w:rPr>
          <w:i/>
          <w:color w:val="888888"/>
        </w:rPr>
        <w:t>[Image placeholder]</w:t>
      </w:r>
    </w:p>
    <w:p>
      <w:pPr>
        <w:pStyle w:val="Heading3"/>
      </w:pPr>
      <w:r>
        <w:rPr>
          <w:sz w:val="24"/>
        </w:rPr>
        <w:t>Slide 44/44: (Untitled)</w:t>
      </w:r>
    </w:p>
    <w:p>
      <w:r>
        <w:rPr>
          <w:i/>
          <w:color w:val="888888"/>
        </w:rPr>
        <w:t>[Image placeholder]</w:t>
      </w:r>
    </w:p>
    <w:p/>
    <w:p>
      <w:pPr>
        <w:spacing w:before="240"/>
        <w:jc w:val="center"/>
      </w:pPr>
      <w:r>
        <w:rPr>
          <w:i/>
          <w:color w:val="999999"/>
          <w:sz w:val="16"/>
        </w:rPr>
        <w:t>--- End of Lesson 19: Document Management | 44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