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11: Introduction to Integration</w:t>
      </w:r>
    </w:p>
    <w:p>
      <w:pPr>
        <w:pStyle w:val="Heading2"/>
      </w:pPr>
      <w:r>
        <w:rPr>
          <w:color w:val="333333"/>
          <w:sz w:val="28"/>
        </w:rPr>
        <w:t>Lesson 20: Integration in Guidewire Cloud</w:t>
      </w:r>
    </w:p>
    <w:p>
      <w:pPr>
        <w:spacing w:after="40"/>
      </w:pPr>
      <w:r>
        <w:rPr>
          <w:i/>
          <w:color w:val="999999"/>
          <w:sz w:val="16"/>
        </w:rPr>
        <w:t>Source: Integration in Guidewire Cloud.pptx</w:t>
      </w:r>
    </w:p>
    <w:p>
      <w:pPr>
        <w:pStyle w:val="Heading3"/>
      </w:pPr>
      <w:r>
        <w:t>Video References</w:t>
      </w:r>
    </w:p>
    <w:p>
      <w:pPr>
        <w:pStyle w:val="ListNumber"/>
      </w:pPr>
      <w:r>
        <w:rPr>
          <w:color w:val="0066CC"/>
          <w:sz w:val="20"/>
        </w:rPr>
        <w:t>[Video 1: In_02_01.mp4]</w:t>
      </w:r>
    </w:p>
    <w:p>
      <w:pPr>
        <w:pStyle w:val="ListNumber"/>
      </w:pPr>
      <w:r>
        <w:rPr>
          <w:color w:val="0066CC"/>
          <w:sz w:val="20"/>
        </w:rPr>
        <w:t>[Video 2: In_03_01.mp4]</w:t>
      </w:r>
    </w:p>
    <w:p>
      <w:pPr>
        <w:pStyle w:val="ListNumber"/>
      </w:pPr>
      <w:r>
        <w:rPr>
          <w:color w:val="0066CC"/>
          <w:sz w:val="20"/>
        </w:rPr>
        <w:t>[Video 3: In_04_01.mp4]</w:t>
      </w:r>
    </w:p>
    <w:p>
      <w:pPr>
        <w:pStyle w:val="ListNumber"/>
      </w:pPr>
      <w:r>
        <w:rPr>
          <w:color w:val="0066CC"/>
          <w:sz w:val="20"/>
        </w:rPr>
        <w:t>[Video 4: In_05_01.mp4]</w:t>
      </w:r>
    </w:p>
    <w:p>
      <w:pPr>
        <w:pStyle w:val="ListNumber"/>
      </w:pPr>
      <w:r>
        <w:rPr>
          <w:color w:val="0066CC"/>
          <w:sz w:val="20"/>
        </w:rPr>
        <w:t>[Video 5: In_06_01.mp4]</w:t>
      </w:r>
    </w:p>
    <w:p>
      <w:pPr>
        <w:pStyle w:val="ListNumber"/>
      </w:pPr>
      <w:r>
        <w:rPr>
          <w:color w:val="0066CC"/>
          <w:sz w:val="20"/>
        </w:rPr>
        <w:t>[Video 6: In_07_01.mp4]</w:t>
      </w:r>
    </w:p>
    <w:p>
      <w:pPr>
        <w:pStyle w:val="ListNumber"/>
      </w:pPr>
      <w:r>
        <w:rPr>
          <w:color w:val="0066CC"/>
          <w:sz w:val="20"/>
        </w:rPr>
        <w:t>[Video 7: In_08_01.mp4]</w:t>
      </w:r>
    </w:p>
    <w:p>
      <w:pPr>
        <w:pStyle w:val="ListNumber"/>
      </w:pPr>
      <w:r>
        <w:rPr>
          <w:color w:val="0066CC"/>
          <w:sz w:val="20"/>
        </w:rPr>
        <w:t>[Video 8: In_09_01.mp4]</w:t>
      </w:r>
    </w:p>
    <w:p>
      <w:pPr>
        <w:pStyle w:val="ListNumber"/>
      </w:pPr>
      <w:r>
        <w:rPr>
          <w:color w:val="0066CC"/>
          <w:sz w:val="20"/>
        </w:rPr>
        <w:t>[Video 9: In_09_02.mp4]</w:t>
      </w:r>
    </w:p>
    <w:p>
      <w:pPr>
        <w:pStyle w:val="ListNumber"/>
      </w:pPr>
      <w:r>
        <w:rPr>
          <w:color w:val="0066CC"/>
          <w:sz w:val="20"/>
        </w:rPr>
        <w:t>[Video 10: In_10_01.mp4]</w:t>
      </w:r>
    </w:p>
    <w:p>
      <w:pPr>
        <w:pStyle w:val="ListNumber"/>
      </w:pPr>
      <w:r>
        <w:rPr>
          <w:color w:val="0066CC"/>
          <w:sz w:val="20"/>
        </w:rPr>
        <w:t>[Video 11: In_11_01.mp4]</w:t>
      </w:r>
    </w:p>
    <w:p>
      <w:pPr>
        <w:pStyle w:val="ListNumber"/>
      </w:pPr>
      <w:r>
        <w:rPr>
          <w:color w:val="0066CC"/>
          <w:sz w:val="20"/>
        </w:rPr>
        <w:t>[Video 12: In_12_01.mp4]</w:t>
      </w:r>
    </w:p>
    <w:p>
      <w:pPr>
        <w:pStyle w:val="ListNumber"/>
      </w:pPr>
      <w:r>
        <w:rPr>
          <w:color w:val="0066CC"/>
          <w:sz w:val="20"/>
        </w:rPr>
        <w:t>[Video 13: In_13_01.mp4]</w:t>
      </w:r>
    </w:p>
    <w:p>
      <w:pPr>
        <w:pStyle w:val="ListNumber"/>
      </w:pPr>
      <w:r>
        <w:rPr>
          <w:color w:val="0066CC"/>
          <w:sz w:val="20"/>
        </w:rPr>
        <w:t>[Video 14: In_14_01.mp4]</w:t>
      </w:r>
    </w:p>
    <w:p>
      <w:pPr>
        <w:pStyle w:val="ListNumber"/>
      </w:pPr>
      <w:r>
        <w:rPr>
          <w:color w:val="0066CC"/>
          <w:sz w:val="20"/>
        </w:rPr>
        <w:t>[Video 15: In_15_01.mp4]</w:t>
      </w:r>
    </w:p>
    <w:p>
      <w:pPr>
        <w:pStyle w:val="ListNumber"/>
      </w:pPr>
      <w:r>
        <w:rPr>
          <w:color w:val="0066CC"/>
          <w:sz w:val="20"/>
        </w:rPr>
        <w:t>[Video 16: In_16_01.mp4]</w:t>
      </w:r>
    </w:p>
    <w:p>
      <w:pPr>
        <w:pStyle w:val="ListNumber"/>
      </w:pPr>
      <w:r>
        <w:rPr>
          <w:color w:val="0066CC"/>
          <w:sz w:val="20"/>
        </w:rPr>
        <w:t>[Video 17: In_17_01.mp4]</w:t>
      </w:r>
    </w:p>
    <w:p>
      <w:pPr>
        <w:pStyle w:val="ListNumber"/>
      </w:pPr>
      <w:r>
        <w:rPr>
          <w:color w:val="0066CC"/>
          <w:sz w:val="20"/>
        </w:rPr>
        <w:t>[Video 18: In_18_01.mp4]</w:t>
      </w:r>
    </w:p>
    <w:p>
      <w:pPr>
        <w:pStyle w:val="ListNumber"/>
      </w:pPr>
      <w:r>
        <w:rPr>
          <w:color w:val="0066CC"/>
          <w:sz w:val="20"/>
        </w:rPr>
        <w:t>[Video 19: In_19_01.mp4]</w:t>
      </w:r>
    </w:p>
    <w:p/>
    <w:p>
      <w:pPr>
        <w:pStyle w:val="Heading2"/>
      </w:pPr>
      <w:r>
        <w:t>Slide Content</w:t>
      </w:r>
    </w:p>
    <w:p>
      <w:pPr>
        <w:pStyle w:val="Heading3"/>
      </w:pPr>
      <w:r>
        <w:rPr>
          <w:sz w:val="24"/>
        </w:rPr>
        <w:t>Slide 1/23: (Untitled)</w:t>
      </w:r>
    </w:p>
    <w:p>
      <w:r>
        <w:rPr>
          <w:i/>
          <w:color w:val="888888"/>
        </w:rPr>
        <w:t>[Image placeholder]</w:t>
      </w:r>
    </w:p>
    <w:p>
      <w:pPr>
        <w:pStyle w:val="Heading3"/>
      </w:pPr>
      <w:r>
        <w:rPr>
          <w:sz w:val="24"/>
        </w:rPr>
        <w:t>Slide 2/23: (Untitled)</w:t>
      </w:r>
    </w:p>
    <w:p>
      <w:r>
        <w:rPr>
          <w:i/>
          <w:color w:val="888888"/>
        </w:rPr>
        <w:t>[Image placeholder]</w:t>
      </w:r>
    </w:p>
    <w:p>
      <w:pPr>
        <w:pStyle w:val="Heading3"/>
      </w:pPr>
      <w:r>
        <w:rPr>
          <w:sz w:val="24"/>
        </w:rPr>
        <w:t>Slide 3/23: (Untitled)</w:t>
      </w:r>
    </w:p>
    <w:p>
      <w:r>
        <w:rPr>
          <w:i/>
          <w:color w:val="888888"/>
        </w:rPr>
        <w:t>[Image placeholder]</w:t>
      </w:r>
    </w:p>
    <w:p>
      <w:pPr>
        <w:pStyle w:val="Heading3"/>
      </w:pPr>
      <w:r>
        <w:rPr>
          <w:sz w:val="24"/>
        </w:rPr>
        <w:t>Slide 4/23: (Untitled)</w:t>
      </w:r>
    </w:p>
    <w:p>
      <w:r>
        <w:rPr>
          <w:i/>
          <w:color w:val="888888"/>
        </w:rPr>
        <w:t>[Image placeholder]</w:t>
      </w:r>
    </w:p>
    <w:p>
      <w:pPr>
        <w:pStyle w:val="Heading3"/>
      </w:pPr>
      <w:r>
        <w:rPr>
          <w:sz w:val="24"/>
        </w:rPr>
        <w:t>Slide 5/23: (Untitled)</w:t>
      </w:r>
    </w:p>
    <w:p>
      <w:r>
        <w:rPr>
          <w:i/>
          <w:color w:val="888888"/>
        </w:rPr>
        <w:t>[Image placeholder]</w:t>
      </w:r>
    </w:p>
    <w:p>
      <w:pPr>
        <w:spacing w:before="80" w:after="80"/>
        <w:shd w:fill="E8E8E8" w:val="clear"/>
      </w:pPr>
      <w:r>
        <w:rPr>
          <w:i/>
          <w:color w:val="444444"/>
          <w:sz w:val="18"/>
        </w:rPr>
        <w:t>Speaker Notes: Comparing integration in self- managed and cloud</w:t>
        <w:br/>
        <w:t>One of the key differences between Integration in the self- managed version and integration in Guidewire Cloud is the place where integration logic resides.</w:t>
        <w:br/>
        <w:br/>
        <w:t>In self-managed, we have looked at various integration mechanisms such as batch processes, plugins, messaging, database tables, Gosu classes, XML modeler and more. The code for all of these mechanisms involves significant amount of Gosu. Most of this code is bundled within Insurance Suite.</w:t>
        <w:br/>
        <w:br/>
        <w:t>In Guidewire Cloud, we have tried to minimize the Gosu code required to build integrations. This is enabled by the provision of low-code and no-code mechanisms. Where code is involved, it is often separated from the InsuranceSuite core.  This means that integration code is developed, tested, deployed, and maintained separately from business logic.</w:t>
      </w:r>
    </w:p>
    <w:p>
      <w:pPr>
        <w:pStyle w:val="Heading3"/>
      </w:pPr>
      <w:r>
        <w:rPr>
          <w:sz w:val="24"/>
        </w:rPr>
        <w:t>Slide 6/23: (Untitled)</w:t>
      </w:r>
    </w:p>
    <w:p>
      <w:r>
        <w:rPr>
          <w:i/>
          <w:color w:val="888888"/>
        </w:rPr>
        <w:t>[Image placeholder]</w:t>
      </w:r>
    </w:p>
    <w:p>
      <w:pPr>
        <w:spacing w:before="80" w:after="80"/>
        <w:shd w:fill="E8E8E8" w:val="clear"/>
      </w:pPr>
      <w:r>
        <w:rPr>
          <w:i/>
          <w:color w:val="444444"/>
          <w:sz w:val="18"/>
        </w:rPr>
        <w:t>Speaker Notes: Cloud Integration Framework components</w:t>
        <w:br/>
        <w:t>Integration is typically a lengthy and complex process, but Guidewire Cloud Integration Framework aims to make it easier. The framework consists of the following components:</w:t>
        <w:br/>
        <w:br/>
        <w:t>Cloud API is a set of RESTful APIs that caller applications use to request data from, or initiate actions within, an InsuranceSuite application- The APIs are built using the Swagger 2.0 Specification- No Gosu code is needed.</w:t>
        <w:br/>
        <w:t>App Events refers to a codeless infrastructure that enables developers to push events to external systems in response to business events happening inside InsuranceSuite. App Events is available for ClaimCenter and PolicyCenter. When an event occurs in InsuranceSuite, App Events pushes event data to an external system.</w:t>
        <w:br/>
        <w:t>Integration Gateway is a cloud-managed service that acts as a mediator between InsuranceSuite and external systems. It hosts Integration apps which contain logic to implement the most common integration scenarios.</w:t>
        <w:br/>
        <w:t>Guidewire REST API Client provides functionality that Guidewire applications and integrations use to make outbound HTTP calls to internal or external OpenAPl Spec-compliant REST services.</w:t>
      </w:r>
    </w:p>
    <w:p>
      <w:pPr>
        <w:pStyle w:val="Heading3"/>
      </w:pPr>
      <w:r>
        <w:rPr>
          <w:sz w:val="24"/>
        </w:rPr>
        <w:t>Slide 7/23: (Untitled)</w:t>
      </w:r>
    </w:p>
    <w:p>
      <w:r>
        <w:rPr>
          <w:i/>
          <w:color w:val="888888"/>
        </w:rPr>
        <w:t>[Image placeholder]</w:t>
      </w:r>
    </w:p>
    <w:p>
      <w:pPr>
        <w:spacing w:before="80" w:after="80"/>
        <w:shd w:fill="E8E8E8" w:val="clear"/>
      </w:pPr>
      <w:r>
        <w:rPr>
          <w:i/>
          <w:color w:val="444444"/>
          <w:sz w:val="18"/>
        </w:rPr>
        <w:t>Speaker Notes: Why use the Integration Framework?</w:t>
        <w:br/>
        <w:t xml:space="preserve">As is evident from the figure on the previous slide, business logic and integration logic are decoupled when we use Integration Framework components. This principle is referred to as •separation of concerns" in software engineering and it provides the following key business values: </w:t>
        <w:br/>
        <w:br/>
        <w:t xml:space="preserve">Increased business agility: Improves the speed of getting integrations in place.  Engineers can spend more time and energy on solving business problems. </w:t>
        <w:br/>
        <w:br/>
        <w:t xml:space="preserve">Improved integrations: The Integration Framework is based on proven frameworks and industry best practices. The result is integrations that are more resilient and fault tolerant. The integrations are easier to develop, manage, operate, and troubleshoot. </w:t>
        <w:br/>
        <w:br/>
        <w:t xml:space="preserve">Reduced cost and risk: With integration logic and configuration removed from the core applications, the build sizes of InsuranceSuite applications are reduced significantly, resulting in a lower total cost of ownership. </w:t>
        <w:br/>
        <w:br/>
        <w:t>In addition, standardization of integrations reduces the risk inherent in custom code. In the next few sections, we will explore each component of Integration Framework.</w:t>
      </w:r>
    </w:p>
    <w:p>
      <w:pPr>
        <w:pStyle w:val="Heading3"/>
      </w:pPr>
      <w:r>
        <w:rPr>
          <w:sz w:val="24"/>
        </w:rPr>
        <w:t>Slide 8/23: (Untitled)</w:t>
      </w:r>
    </w:p>
    <w:p>
      <w:r>
        <w:rPr>
          <w:i/>
          <w:color w:val="888888"/>
        </w:rPr>
        <w:t>[Image placeholder]</w:t>
      </w:r>
    </w:p>
    <w:p>
      <w:pPr>
        <w:pStyle w:val="Heading3"/>
      </w:pPr>
      <w:r>
        <w:rPr>
          <w:sz w:val="24"/>
        </w:rPr>
        <w:t>Slide 9/23: (Untitled)</w:t>
      </w:r>
    </w:p>
    <w:p>
      <w:r>
        <w:rPr>
          <w:i/>
          <w:color w:val="888888"/>
        </w:rPr>
        <w:t>[Image placeholder]</w:t>
      </w:r>
    </w:p>
    <w:p>
      <w:pPr>
        <w:spacing w:before="80" w:after="80"/>
        <w:shd w:fill="E8E8E8" w:val="clear"/>
      </w:pPr>
      <w:r>
        <w:rPr>
          <w:i/>
          <w:color w:val="444444"/>
          <w:sz w:val="18"/>
        </w:rPr>
        <w:t>Speaker Notes: Base configuration Cloud APIs</w:t>
        <w:br/>
        <w:t>Each InsuranceSuite application exposes some APIs that allow caller applications to consume objects within that application.</w:t>
        <w:br/>
        <w:br/>
        <w:t>For example, ClaimCenter exposes the /claims/vl API which has endpoints to consume claims and related objects. The common/vl API has endpoints to consume common InsuranceSuite platform-level objects like activities and notes.</w:t>
        <w:br/>
        <w:br/>
        <w:t>PolicyCenter exposes the /policy/vl API which has endpoints to consume policy and related objects. The laccount/vl API has endpoints to consume accounts and related objects.</w:t>
        <w:br/>
        <w:br/>
        <w:t>BillingCenter does not yet expose any APIs other than system-level maintenance APIs. More APIs will be included in the base configuration in future releases of Guidewire Cloud.</w:t>
        <w:br/>
        <w:br/>
        <w:t>Regardless of where your application is deployed, you can find the Swagger documentation for the Cloud APIs at &lt;application URL &gt;/resources/swagger-ui/</w:t>
      </w:r>
    </w:p>
    <w:p>
      <w:pPr>
        <w:pStyle w:val="Heading3"/>
      </w:pPr>
      <w:r>
        <w:rPr>
          <w:sz w:val="24"/>
        </w:rPr>
        <w:t>Slide 10/23: (Untitled)</w:t>
      </w:r>
    </w:p>
    <w:p>
      <w:r>
        <w:rPr>
          <w:i/>
          <w:color w:val="888888"/>
        </w:rPr>
        <w:t>[Image placeholder]</w:t>
      </w:r>
    </w:p>
    <w:p>
      <w:pPr>
        <w:spacing w:before="80" w:after="80"/>
        <w:shd w:fill="E8E8E8" w:val="clear"/>
      </w:pPr>
      <w:r>
        <w:rPr>
          <w:i/>
          <w:color w:val="444444"/>
          <w:sz w:val="18"/>
        </w:rPr>
        <w:t>Speaker Notes: Cloud API fundamentals</w:t>
        <w:br/>
        <w:t>The main usage of Cloud APIs is to retrieve (GET), create (POST), update (PATCH), and delete (DELETE) resources. Eachrequest uses a different endpoint. Let's look at some examples from the /claim/vl API and the /account/vl API.</w:t>
        <w:br/>
        <w:br/>
        <w:t>In ClaimCenter, we can use the Claim API to retrieve, create, and update claims. We can also use it to update and delete resources related to claims such as vehicle incidents, documents, and so on.</w:t>
        <w:br/>
        <w:br/>
        <w:t>In PolicyCenter, we can use the Account API to retrieve, create, and update accounts. We can also use it to update resources related to accounts such as contacts.</w:t>
        <w:br/>
        <w:br/>
        <w:t>Together, different Cloud API endpoints can be used to implement many inbound integration scenarios.</w:t>
      </w:r>
    </w:p>
    <w:p>
      <w:pPr>
        <w:pStyle w:val="Heading3"/>
      </w:pPr>
      <w:r>
        <w:rPr>
          <w:sz w:val="24"/>
        </w:rPr>
        <w:t>Slide 11/23: (Untitled)</w:t>
      </w:r>
    </w:p>
    <w:p>
      <w:r>
        <w:rPr>
          <w:i/>
          <w:color w:val="888888"/>
        </w:rPr>
        <w:t>[Image placeholder]</w:t>
      </w:r>
    </w:p>
    <w:p>
      <w:pPr>
        <w:pStyle w:val="Heading3"/>
      </w:pPr>
      <w:r>
        <w:rPr>
          <w:sz w:val="24"/>
        </w:rPr>
        <w:t>Slide 12/23: (Untitled)</w:t>
      </w:r>
    </w:p>
    <w:p>
      <w:r>
        <w:rPr>
          <w:i/>
          <w:color w:val="888888"/>
        </w:rPr>
        <w:t>[Image placeholder]</w:t>
      </w:r>
    </w:p>
    <w:p>
      <w:pPr>
        <w:spacing w:before="80" w:after="80"/>
        <w:shd w:fill="E8E8E8" w:val="clear"/>
      </w:pPr>
      <w:r>
        <w:rPr>
          <w:i/>
          <w:color w:val="444444"/>
          <w:sz w:val="18"/>
        </w:rPr>
        <w:t>Speaker Notes: What does the REST API client do?</w:t>
        <w:br/>
        <w:t>Simply put, a REST Client is a method or a tool to invoke a REST service API that is exposed for communication by any system or service provider.</w:t>
        <w:br/>
        <w:t>For example: if an API is exposed to get real-time trafic information about a route from Google, the software/tool that invokes the Google traffic API is called the REST client.</w:t>
        <w:br/>
        <w:br/>
        <w:t>The Guidewire REST API Client is a tool developed to generate REST clients. The REST Clients generated by the tool are embedded in InsuranceSuite. This enables InsuranceSuite to make HTTP calls to external APIs and fetch their resources.</w:t>
      </w:r>
    </w:p>
    <w:p>
      <w:pPr>
        <w:pStyle w:val="Heading3"/>
      </w:pPr>
      <w:r>
        <w:rPr>
          <w:sz w:val="24"/>
        </w:rPr>
        <w:t>Slide 13/23: (Untitled)</w:t>
      </w:r>
    </w:p>
    <w:p>
      <w:r>
        <w:rPr>
          <w:i/>
          <w:color w:val="888888"/>
        </w:rPr>
        <w:t>[Image placeholder]</w:t>
      </w:r>
    </w:p>
    <w:p>
      <w:pPr>
        <w:spacing w:before="80" w:after="80"/>
        <w:shd w:fill="E8E8E8" w:val="clear"/>
      </w:pPr>
      <w:r>
        <w:rPr>
          <w:i/>
          <w:color w:val="444444"/>
          <w:sz w:val="18"/>
        </w:rPr>
        <w:t>Speaker Notes: REST API Client overview</w:t>
        <w:br/>
        <w:t>The Guidewire REST API Client consists of two modules: A plugin and a library</w:t>
        <w:br/>
        <w:br/>
        <w:t>The plugin is used to generate a REST API Client that supports OpenAPl Specifications. Each REST API Client generated is configured to speak to a specific External API or service.</w:t>
        <w:br/>
        <w:br/>
        <w:t>The libraries provide fault tolerance features that developers use to make HTTP calls to external services.</w:t>
        <w:br/>
        <w:br/>
        <w:t>Guidewire distributes the REST API Client as a .zip file which contains both of these modules. Developers configure it and embed the generated client in InsuranceSuite.</w:t>
      </w:r>
    </w:p>
    <w:p>
      <w:pPr>
        <w:pStyle w:val="Heading3"/>
      </w:pPr>
      <w:r>
        <w:rPr>
          <w:sz w:val="24"/>
        </w:rPr>
        <w:t>Slide 14/23: (Untitled)</w:t>
      </w:r>
    </w:p>
    <w:p>
      <w:r>
        <w:rPr>
          <w:i/>
          <w:color w:val="888888"/>
        </w:rPr>
        <w:t>[Image placeholder]</w:t>
      </w:r>
    </w:p>
    <w:p>
      <w:pPr>
        <w:pStyle w:val="Heading3"/>
      </w:pPr>
      <w:r>
        <w:rPr>
          <w:sz w:val="24"/>
        </w:rPr>
        <w:t>Slide 15/23: (Untitled)</w:t>
      </w:r>
    </w:p>
    <w:p>
      <w:r>
        <w:rPr>
          <w:i/>
          <w:color w:val="888888"/>
        </w:rPr>
        <w:t>[Image placeholder]</w:t>
      </w:r>
    </w:p>
    <w:p>
      <w:pPr>
        <w:spacing w:before="80" w:after="80"/>
        <w:shd w:fill="E8E8E8" w:val="clear"/>
      </w:pPr>
      <w:r>
        <w:rPr>
          <w:i/>
          <w:color w:val="444444"/>
          <w:sz w:val="18"/>
        </w:rPr>
        <w:t>Speaker Notes: Events in InsuranceSuite</w:t>
        <w:br/>
        <w:t>Downstream applications want to be notified about business events happening inside InsuranceSuite applications. There are several business events occurring within InsuranceSuite as a result of transactions.</w:t>
        <w:br/>
        <w:t>For example, a fraud scoring system may need to know when: a. A claim is opened or changed. b. An exposure is created.  c. When new parties are added to the claim. The fraud scoring system might use the event data to determine the risk of fraud on a specific claim.</w:t>
        <w:br/>
        <w:t>The InsuranceSuite platform provides the infrastructure to: a. Raise events when something significant happens; and b. Enable customers to respond to an event by creating a message for each external system that cares about that event.</w:t>
        <w:br/>
        <w:t>This infrastructure or feature is collectively referred to as App Events. It is available for both ClaimCenter and PolicyCenter.</w:t>
      </w:r>
    </w:p>
    <w:p>
      <w:pPr>
        <w:pStyle w:val="Heading3"/>
      </w:pPr>
      <w:r>
        <w:rPr>
          <w:sz w:val="24"/>
        </w:rPr>
        <w:t>Slide 16/23: (Untitled)</w:t>
      </w:r>
    </w:p>
    <w:p>
      <w:r>
        <w:rPr>
          <w:i/>
          <w:color w:val="888888"/>
        </w:rPr>
        <w:t>[Image placeholder]</w:t>
      </w:r>
    </w:p>
    <w:p>
      <w:pPr>
        <w:spacing w:before="80" w:after="80"/>
        <w:shd w:fill="E8E8E8" w:val="clear"/>
      </w:pPr>
      <w:r>
        <w:rPr>
          <w:i/>
          <w:color w:val="444444"/>
          <w:sz w:val="18"/>
        </w:rPr>
        <w:t>Speaker Notes: Sending events from InsuranceSuite in self-managed In self-managed implementations, the Event messaging framework was used to deliver event messages to pre-configured destinations- Overall, the process looked like this:</w:t>
        <w:br/>
        <w:t>1. Transactions are committed in InsuranceSuite applications. Transactions could happen as a result of a user saving changes in the IJI, from a REST call, or an internal batch process.</w:t>
        <w:br/>
        <w:t>2. The transaction raises one or more events, based on what is being changed. For example, a claim being changed will raise a ClaimChanged event, and if it's an incident that was added on the claim, the IncidentAdded event is raised as well.</w:t>
        <w:br/>
        <w:t>3. Event-fired rules defined in the application determine if any destination is interested in the event. Based on this, the application creates a message and the payload. Both are stored in a message table. Optionally, destination- specific plugins may also transform the message payload.Customers would write and maintain their own event-fired rules, destinations, and messaging plugins within InsuranceSuite.</w:t>
        <w:br/>
        <w:t xml:space="preserve">4. Asynchronously, a process polls the message table and for each message in the table and invokes a pluqin to send the message to the relevant </w:t>
        <w:br/>
        <w:t>external system.</w:t>
        <w:br/>
        <w:br/>
        <w:t>In the cloud, the way event data is generated within InsuranceSuite remains the same. As transactions happen, entities generate events.</w:t>
        <w:br/>
        <w:t>However, customers no longer need to write custom event-fired rules and plugins that determine where and when to deliver the events.</w:t>
      </w:r>
    </w:p>
    <w:p>
      <w:pPr>
        <w:pStyle w:val="Heading3"/>
      </w:pPr>
      <w:r>
        <w:rPr>
          <w:sz w:val="24"/>
        </w:rPr>
        <w:t>Slide 17/23: (Untitled)</w:t>
      </w:r>
    </w:p>
    <w:p>
      <w:r>
        <w:rPr>
          <w:i/>
          <w:color w:val="888888"/>
        </w:rPr>
        <w:t>[Image placeholder]</w:t>
      </w:r>
    </w:p>
    <w:p>
      <w:pPr>
        <w:spacing w:before="80" w:after="80"/>
        <w:shd w:fill="E8E8E8" w:val="clear"/>
      </w:pPr>
      <w:r>
        <w:rPr>
          <w:i/>
          <w:color w:val="444444"/>
          <w:sz w:val="18"/>
        </w:rPr>
        <w:t>Speaker Notes: Sending events from InsuranceSuite in Guidewire Cloud</w:t>
        <w:br/>
        <w:t>Although event messaging is still available to develop outbound integrations in Guidewire cloud - App Events is its successor and is the recommended way of implementing outbound event-based integrations in the cloud. App Events should be used when building new outbound integrations in the cloud.</w:t>
        <w:br/>
        <w:br/>
        <w:t>App Events is a no-code mechanism for outbound event publishing. Developers use a form-like interface called Webhooks IJI to push events from ClaimCenter and PolicyCenter to external systems.</w:t>
        <w:br/>
        <w:br/>
        <w:t>The slide shows four use cases:</w:t>
        <w:br/>
        <w:br/>
        <w:t>A medical bill review system needs to know when claims and medical exposures are created to provide context for evaluating medical bills.</w:t>
        <w:br/>
        <w:t xml:space="preserve">A fraud scoring system needs to know when there is activity on a claim to trigger fraud scoring. </w:t>
        <w:br/>
        <w:t>A fraud scoring system needs to know when there are policy lifecycle related events to keep its data up to date.</w:t>
        <w:br/>
        <w:t>A vehicle estimates system needs to know when a claim is created to calculate estimatedamage cost for a vehicle</w:t>
        <w:br/>
        <w:br/>
        <w:t>In self-managed implementations, each of these integrations would require several lines of Gosu code. Implementing, testing,deploying, and maintaining this code is complex. With App Events, a developer working on implementing any of the use cases mentioned above would create a subscription using the Webhooks IJI to send events downstream. The events are delivered as JSON blocks over https. The event data is based on the Cloud Events 1.0 specification and consists of a header and body.</w:t>
      </w:r>
    </w:p>
    <w:p>
      <w:pPr>
        <w:pStyle w:val="Heading3"/>
      </w:pPr>
      <w:r>
        <w:rPr>
          <w:sz w:val="24"/>
        </w:rPr>
        <w:t>Slide 18/23: (Untitled)</w:t>
      </w:r>
    </w:p>
    <w:p>
      <w:r>
        <w:rPr>
          <w:i/>
          <w:color w:val="888888"/>
        </w:rPr>
        <w:t>[Image placeholder]</w:t>
      </w:r>
    </w:p>
    <w:p>
      <w:pPr>
        <w:spacing w:before="80" w:after="80"/>
        <w:shd w:fill="E8E8E8" w:val="clear"/>
      </w:pPr>
      <w:r>
        <w:rPr>
          <w:i/>
          <w:color w:val="444444"/>
          <w:sz w:val="18"/>
        </w:rPr>
        <w:t>Speaker Notes: Integration Gateway</w:t>
        <w:br/>
        <w:t>In this section, we will explore what the Integration Gateway is and when we can make use of it.</w:t>
      </w:r>
    </w:p>
    <w:p>
      <w:pPr>
        <w:pStyle w:val="Heading3"/>
      </w:pPr>
      <w:r>
        <w:rPr>
          <w:sz w:val="24"/>
        </w:rPr>
        <w:t>Slide 19/23: (Untitled)</w:t>
      </w:r>
    </w:p>
    <w:p>
      <w:r>
        <w:rPr>
          <w:i/>
          <w:color w:val="888888"/>
        </w:rPr>
        <w:t>[Image placeholder]</w:t>
      </w:r>
    </w:p>
    <w:p>
      <w:pPr>
        <w:spacing w:before="80" w:after="80"/>
        <w:shd w:fill="E8E8E8" w:val="clear"/>
      </w:pPr>
      <w:r>
        <w:rPr>
          <w:i/>
          <w:color w:val="444444"/>
          <w:sz w:val="18"/>
        </w:rPr>
        <w:t>Speaker Notes: What is Integration Gateway?</w:t>
        <w:br/>
        <w:t>Integration Gateway is a part of the Integration Framework that acts as a bridge between InsuranceSuite and external applications. The integration Gateway hosts multiple integration apps which facilitate outbound or inbound integration patterns. Integration apps are written in Apache Camel- an open-source, Java-based framework with a low-code Domain Specific Language (DSL) that enables developers to build integration apps with fewer lines of code.</w:t>
        <w:br/>
        <w:br/>
        <w:t>Integration apps can:</w:t>
        <w:br/>
        <w:t>1. Orchestrate any interaction pattern: Developers can write integration app logic to orchestrate integration patterns outbound from and inbound to InsuranceSuite.</w:t>
        <w:br/>
        <w:t>2. Transform any data format: Developers can write integration app logic that, for example, consumes JSON from InsuranceSuite and delivers XML to the external system. Transformation between many different data formats is possible.</w:t>
        <w:br/>
        <w:t>3. Bridge betueen any API interface: Developers can write an integration app which receives a call from an external SOAP API and calls an InsuranceSuite Cloud API-</w:t>
      </w:r>
    </w:p>
    <w:p>
      <w:pPr>
        <w:pStyle w:val="Heading3"/>
      </w:pPr>
      <w:r>
        <w:rPr>
          <w:sz w:val="24"/>
        </w:rPr>
        <w:t>Slide 20/23: (Untitled)</w:t>
      </w:r>
    </w:p>
    <w:p>
      <w:r>
        <w:rPr>
          <w:i/>
          <w:color w:val="888888"/>
        </w:rPr>
        <w:t>[Image placeholder]</w:t>
      </w:r>
    </w:p>
    <w:p>
      <w:pPr>
        <w:spacing w:before="80" w:after="80"/>
        <w:shd w:fill="E8E8E8" w:val="clear"/>
      </w:pPr>
      <w:r>
        <w:rPr>
          <w:i/>
          <w:color w:val="444444"/>
          <w:sz w:val="18"/>
        </w:rPr>
        <w:t>Speaker Notes: Apache Camel basics</w:t>
        <w:br/>
        <w:t>Logic within an integration app is defined as Camel routes. The fundamental concept is that you string components together to make a route. Within an integration app, you can have multiple routes to accomplish the intended integration pattern</w:t>
        <w:br/>
        <w:br/>
        <w:t>An endpoint is an interface through which Camel exchanges a message with another system. A message can be received from an endpoint or sent to an endpoint. A route is the object that you configure to move datafrom one system to another and it contains the integration logic.</w:t>
        <w:br/>
        <w:br/>
        <w:t>A component provides various services for messaging, sending data, notifications, and so on. Enterprise Integration Patterns (ElPs) perform processing on messages. Camel Context is the container where routes run inside</w:t>
      </w:r>
    </w:p>
    <w:p>
      <w:pPr>
        <w:pStyle w:val="Heading3"/>
      </w:pPr>
      <w:r>
        <w:rPr>
          <w:sz w:val="24"/>
        </w:rPr>
        <w:t>Slide 21/23: (Untitled)</w:t>
      </w:r>
    </w:p>
    <w:p>
      <w:r>
        <w:rPr>
          <w:i/>
          <w:color w:val="888888"/>
        </w:rPr>
        <w:t>[Image placeholder]</w:t>
      </w:r>
    </w:p>
    <w:p>
      <w:pPr>
        <w:pStyle w:val="Heading3"/>
      </w:pPr>
      <w:r>
        <w:rPr>
          <w:sz w:val="24"/>
        </w:rPr>
        <w:t>Slide 22/23: (Untitled)</w:t>
      </w:r>
    </w:p>
    <w:p>
      <w:r>
        <w:rPr>
          <w:i/>
          <w:color w:val="888888"/>
        </w:rPr>
        <w:t>[Image placeholder]</w:t>
      </w:r>
    </w:p>
    <w:p>
      <w:pPr>
        <w:spacing w:before="80" w:after="80"/>
        <w:shd w:fill="E8E8E8" w:val="clear"/>
      </w:pPr>
      <w:r>
        <w:rPr>
          <w:i/>
          <w:color w:val="444444"/>
          <w:sz w:val="18"/>
        </w:rPr>
        <w:t>Speaker Notes: EDU courses about each component</w:t>
        <w:br/>
        <w:t>1. ClaimCenter System API</w:t>
        <w:br/>
        <w:t>2. PolicyCenter System API</w:t>
        <w:br/>
        <w:t>3. InsuranceSuite Cloud API</w:t>
        <w:br/>
        <w:t>4. REST API Client</w:t>
        <w:br/>
        <w:t>5. InsuranceSuite App Events</w:t>
        <w:br/>
        <w:t>6. InsuranceSuite Integration Gateway</w:t>
      </w:r>
    </w:p>
    <w:p>
      <w:pPr>
        <w:pStyle w:val="Heading3"/>
      </w:pPr>
      <w:r>
        <w:rPr>
          <w:sz w:val="24"/>
        </w:rPr>
        <w:t>Slide 23/23: (Untitled)</w:t>
      </w:r>
    </w:p>
    <w:p>
      <w:r>
        <w:rPr>
          <w:i/>
          <w:color w:val="888888"/>
        </w:rPr>
        <w:t>[Image placeholder]</w:t>
      </w:r>
    </w:p>
    <w:p/>
    <w:p>
      <w:pPr>
        <w:spacing w:before="240"/>
        <w:jc w:val="center"/>
      </w:pPr>
      <w:r>
        <w:rPr>
          <w:i/>
          <w:color w:val="999999"/>
          <w:sz w:val="16"/>
        </w:rPr>
        <w:t>--- End of Lesson 20: Integration in Guidewire Cloud | 23 slides | 19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