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13: Rating Introduction</w:t>
      </w:r>
    </w:p>
    <w:p>
      <w:pPr>
        <w:pStyle w:val="Heading2"/>
      </w:pPr>
      <w:r>
        <w:rPr>
          <w:color w:val="333333"/>
          <w:sz w:val="28"/>
        </w:rPr>
        <w:t>Lesson 1: Rating Business Overview</w:t>
      </w:r>
    </w:p>
    <w:p>
      <w:pPr>
        <w:spacing w:after="40"/>
      </w:pPr>
      <w:r>
        <w:rPr>
          <w:i/>
          <w:color w:val="999999"/>
          <w:sz w:val="16"/>
        </w:rPr>
        <w:t>Source: Rating Business Overview.pptx</w:t>
      </w:r>
    </w:p>
    <w:p>
      <w:pPr>
        <w:pStyle w:val="Heading3"/>
      </w:pPr>
      <w:r>
        <w:t>Video References</w:t>
      </w:r>
    </w:p>
    <w:p>
      <w:pPr>
        <w:pStyle w:val="ListNumber"/>
      </w:pPr>
      <w:r>
        <w:rPr>
          <w:color w:val="0066CC"/>
          <w:sz w:val="20"/>
        </w:rPr>
        <w:t>[Video 1: Ra_Intro_01_01.mp4]</w:t>
      </w:r>
    </w:p>
    <w:p>
      <w:pPr>
        <w:pStyle w:val="ListNumber"/>
      </w:pPr>
      <w:r>
        <w:rPr>
          <w:color w:val="0066CC"/>
          <w:sz w:val="20"/>
        </w:rPr>
        <w:t>[Video 2: Ra_Intro_01_02.mp4]</w:t>
      </w:r>
    </w:p>
    <w:p>
      <w:pPr>
        <w:pStyle w:val="ListNumber"/>
      </w:pPr>
      <w:r>
        <w:rPr>
          <w:color w:val="0066CC"/>
          <w:sz w:val="20"/>
        </w:rPr>
        <w:t>[Video 3: Ra_Intro_01_03.mp4]</w:t>
      </w:r>
    </w:p>
    <w:p>
      <w:pPr>
        <w:pStyle w:val="ListNumber"/>
      </w:pPr>
      <w:r>
        <w:rPr>
          <w:color w:val="0066CC"/>
          <w:sz w:val="20"/>
        </w:rPr>
        <w:t>[Video 4: Ra_Intro_02_02.mp4]</w:t>
      </w:r>
    </w:p>
    <w:p>
      <w:pPr>
        <w:pStyle w:val="ListNumber"/>
      </w:pPr>
      <w:r>
        <w:rPr>
          <w:color w:val="0066CC"/>
          <w:sz w:val="20"/>
        </w:rPr>
        <w:t>[Video 5: Ra_Intro_03_01.mp4]</w:t>
      </w:r>
    </w:p>
    <w:p>
      <w:pPr>
        <w:pStyle w:val="ListNumber"/>
      </w:pPr>
      <w:r>
        <w:rPr>
          <w:color w:val="0066CC"/>
          <w:sz w:val="20"/>
        </w:rPr>
        <w:t>[Video 6: Ra_Intro_04_01.mp4]</w:t>
      </w:r>
    </w:p>
    <w:p>
      <w:pPr>
        <w:pStyle w:val="ListNumber"/>
      </w:pPr>
      <w:r>
        <w:rPr>
          <w:color w:val="0066CC"/>
          <w:sz w:val="20"/>
        </w:rPr>
        <w:t>[Video 7: Ra_Intro_05_01.mp4]</w:t>
      </w:r>
    </w:p>
    <w:p>
      <w:pPr>
        <w:pStyle w:val="ListNumber"/>
      </w:pPr>
      <w:r>
        <w:rPr>
          <w:color w:val="0066CC"/>
          <w:sz w:val="20"/>
        </w:rPr>
        <w:t>[Video 8: Ra_Intro_05_02.mp4]</w:t>
      </w:r>
    </w:p>
    <w:p>
      <w:pPr>
        <w:pStyle w:val="ListNumber"/>
      </w:pPr>
      <w:r>
        <w:rPr>
          <w:color w:val="0066CC"/>
          <w:sz w:val="20"/>
        </w:rPr>
        <w:t>[Video 9: Ra_Intro_06_01.mp4]</w:t>
      </w:r>
    </w:p>
    <w:p>
      <w:pPr>
        <w:pStyle w:val="ListNumber"/>
      </w:pPr>
      <w:r>
        <w:rPr>
          <w:color w:val="0066CC"/>
          <w:sz w:val="20"/>
        </w:rPr>
        <w:t>[Video 10: Ra_Intro_07_01.mp4]</w:t>
      </w:r>
    </w:p>
    <w:p>
      <w:pPr>
        <w:pStyle w:val="ListNumber"/>
      </w:pPr>
      <w:r>
        <w:rPr>
          <w:color w:val="0066CC"/>
          <w:sz w:val="20"/>
        </w:rPr>
        <w:t>[Video 11: Ra_intro_02_01 .mp4]</w:t>
      </w:r>
    </w:p>
    <w:p/>
    <w:p>
      <w:pPr>
        <w:pStyle w:val="Heading2"/>
      </w:pPr>
      <w:r>
        <w:t>Slide Content</w:t>
      </w:r>
    </w:p>
    <w:p>
      <w:pPr>
        <w:pStyle w:val="Heading3"/>
      </w:pPr>
      <w:r>
        <w:rPr>
          <w:sz w:val="24"/>
        </w:rPr>
        <w:t>Slide 1/41: (Untitled)</w:t>
      </w:r>
    </w:p>
    <w:p>
      <w:r>
        <w:rPr>
          <w:i/>
          <w:color w:val="888888"/>
        </w:rPr>
        <w:t>[Image placeholder]</w:t>
      </w:r>
    </w:p>
    <w:p>
      <w:pPr>
        <w:pStyle w:val="Heading3"/>
      </w:pPr>
      <w:r>
        <w:rPr>
          <w:sz w:val="24"/>
        </w:rPr>
        <w:t>Slide 2/41: (Untitled)</w:t>
      </w:r>
    </w:p>
    <w:p>
      <w:r>
        <w:rPr>
          <w:i/>
          <w:color w:val="888888"/>
        </w:rPr>
        <w:t>[Image placeholder]</w:t>
      </w:r>
    </w:p>
    <w:p>
      <w:pPr>
        <w:pStyle w:val="Heading3"/>
      </w:pPr>
      <w:r>
        <w:rPr>
          <w:sz w:val="24"/>
        </w:rPr>
        <w:t>Slide 3/41: (Untitled)</w:t>
      </w:r>
    </w:p>
    <w:p>
      <w:r>
        <w:rPr>
          <w:i/>
          <w:color w:val="888888"/>
        </w:rPr>
        <w:t>[Image placeholder]</w:t>
      </w:r>
    </w:p>
    <w:p>
      <w:pPr>
        <w:spacing w:before="80" w:after="80"/>
        <w:shd w:fill="E8E8E8" w:val="clear"/>
      </w:pPr>
      <w:r>
        <w:rPr>
          <w:i/>
          <w:color w:val="444444"/>
          <w:sz w:val="18"/>
        </w:rPr>
        <w:t>Speaker Notes: Setting the context</w:t>
        <w:br/>
        <w:t>Here we see Kalani and Julia discussing PolicyCenter Rating Management.</w:t>
      </w:r>
    </w:p>
    <w:p>
      <w:pPr>
        <w:pStyle w:val="Heading3"/>
      </w:pPr>
      <w:r>
        <w:rPr>
          <w:sz w:val="24"/>
        </w:rPr>
        <w:t>Slide 4/41: (Untitled)</w:t>
      </w:r>
    </w:p>
    <w:p>
      <w:r>
        <w:rPr>
          <w:i/>
          <w:color w:val="888888"/>
        </w:rPr>
        <w:t>[Image placeholder]</w:t>
      </w:r>
    </w:p>
    <w:p>
      <w:pPr>
        <w:spacing w:before="80" w:after="80"/>
        <w:shd w:fill="E8E8E8" w:val="clear"/>
      </w:pPr>
      <w:r>
        <w:rPr>
          <w:i/>
          <w:color w:val="444444"/>
          <w:sz w:val="18"/>
        </w:rPr>
        <w:t>Speaker Notes: PolicyCenter rating overview</w:t>
        <w:br/>
        <w:t>Costs in PolicyCenter are the •containers" for a monetary amount associated with a policy, e.g., premium, taxes, discounts and surcharges, and other amounts. The task to focus on during implementation is how to capture cost per risk, cost per policy for each line of business (LOB), and total cost per policy. This is how the policy cost I scalculated. Some examples of costs include costs rated by vehicle, costs rated by line and costs such as taxes and surcharges.</w:t>
      </w:r>
    </w:p>
    <w:p>
      <w:pPr>
        <w:pStyle w:val="Heading3"/>
      </w:pPr>
      <w:r>
        <w:rPr>
          <w:sz w:val="24"/>
        </w:rPr>
        <w:t>Slide 5/41: (Untitled)</w:t>
      </w:r>
    </w:p>
    <w:p>
      <w:r>
        <w:rPr>
          <w:i/>
          <w:color w:val="888888"/>
        </w:rPr>
        <w:t>[Image placeholder]</w:t>
      </w:r>
    </w:p>
    <w:p>
      <w:pPr>
        <w:pStyle w:val="Heading3"/>
      </w:pPr>
      <w:r>
        <w:rPr>
          <w:sz w:val="24"/>
        </w:rPr>
        <w:t>Slide 6/41: (Untitled)</w:t>
      </w:r>
    </w:p>
    <w:p>
      <w:r>
        <w:rPr>
          <w:i/>
          <w:color w:val="888888"/>
        </w:rPr>
        <w:t>[Image placeholder]</w:t>
      </w:r>
    </w:p>
    <w:p>
      <w:pPr>
        <w:spacing w:before="80" w:after="80"/>
        <w:shd w:fill="E8E8E8" w:val="clear"/>
      </w:pPr>
      <w:r>
        <w:rPr>
          <w:i/>
          <w:color w:val="444444"/>
          <w:sz w:val="18"/>
        </w:rPr>
        <w:t>Speaker Notes: Rating components</w:t>
        <w:br/>
        <w:t>Rate books, rate table definitions, rate routines and parameter sets are all components in the PolicyCenter Rating Management.</w:t>
      </w:r>
    </w:p>
    <w:p>
      <w:pPr>
        <w:pStyle w:val="Heading3"/>
      </w:pPr>
      <w:r>
        <w:rPr>
          <w:sz w:val="24"/>
        </w:rPr>
        <w:t>Slide 7/41: (Untitled)</w:t>
      </w:r>
    </w:p>
    <w:p>
      <w:r>
        <w:rPr>
          <w:i/>
          <w:color w:val="888888"/>
        </w:rPr>
        <w:t>[Image placeholder]</w:t>
      </w:r>
    </w:p>
    <w:p>
      <w:pPr>
        <w:spacing w:before="80" w:after="80"/>
        <w:shd w:fill="E8E8E8" w:val="clear"/>
      </w:pPr>
      <w:r>
        <w:rPr>
          <w:i/>
          <w:color w:val="444444"/>
          <w:sz w:val="18"/>
        </w:rPr>
        <w:t>Speaker Notes: Rating process diagram</w:t>
        <w:br/>
        <w:t>This diagram shows the process of how rating works beginning with the Quote.</w:t>
      </w:r>
    </w:p>
    <w:p>
      <w:pPr>
        <w:pStyle w:val="Heading3"/>
      </w:pPr>
      <w:r>
        <w:rPr>
          <w:sz w:val="24"/>
        </w:rPr>
        <w:t>Slide 8/41: (Untitled)</w:t>
      </w:r>
    </w:p>
    <w:p>
      <w:r>
        <w:rPr>
          <w:i/>
          <w:color w:val="888888"/>
        </w:rPr>
        <w:t>[Image placeholder]</w:t>
      </w:r>
    </w:p>
    <w:p>
      <w:pPr>
        <w:pStyle w:val="Heading3"/>
      </w:pPr>
      <w:r>
        <w:rPr>
          <w:sz w:val="24"/>
        </w:rPr>
        <w:t>Slide 9/41: (Untitled)</w:t>
      </w:r>
    </w:p>
    <w:p>
      <w:r>
        <w:rPr>
          <w:i/>
          <w:color w:val="888888"/>
        </w:rPr>
        <w:t>[Image placeholder]</w:t>
      </w:r>
    </w:p>
    <w:p>
      <w:pPr>
        <w:pStyle w:val="Heading3"/>
      </w:pPr>
      <w:r>
        <w:rPr>
          <w:sz w:val="24"/>
        </w:rPr>
        <w:t>Slide 10/41: (Untitled)</w:t>
      </w:r>
    </w:p>
    <w:p>
      <w:r>
        <w:rPr>
          <w:i/>
          <w:color w:val="888888"/>
        </w:rPr>
        <w:t>[Image placeholder]</w:t>
      </w:r>
    </w:p>
    <w:p>
      <w:pPr>
        <w:spacing w:before="80" w:after="80"/>
        <w:shd w:fill="E8E8E8" w:val="clear"/>
      </w:pPr>
      <w:r>
        <w:rPr>
          <w:i/>
          <w:color w:val="444444"/>
          <w:sz w:val="18"/>
        </w:rPr>
        <w:t>Speaker Notes: Demonstration - Personal Auto submission</w:t>
        <w:br/>
        <w:t>Sometimes, students take this rating course that have not taken the PolicyCenter Introduction course.</w:t>
        <w:br/>
        <w:br/>
        <w:t>The purpose of this demo is to ensure that all students understand how to work with submissions because they will be doing this later in the course.</w:t>
        <w:br/>
        <w:br/>
        <w:t>This is a modified version of the demos from the PolicyCenter Introduction course, so if the students already understand how to work with submissions, these demos may be skipped.</w:t>
      </w:r>
    </w:p>
    <w:p>
      <w:pPr>
        <w:pStyle w:val="Heading3"/>
      </w:pPr>
      <w:r>
        <w:rPr>
          <w:sz w:val="24"/>
        </w:rPr>
        <w:t>Slide 11/41: (Untitled)</w:t>
      </w:r>
    </w:p>
    <w:p>
      <w:pPr>
        <w:spacing w:before="80" w:after="80"/>
        <w:shd w:fill="E8E8E8" w:val="clear"/>
      </w:pPr>
      <w:r>
        <w:rPr>
          <w:i/>
          <w:color w:val="444444"/>
          <w:sz w:val="18"/>
        </w:rPr>
        <w:t>Speaker Notes: Demonstration - Personal Auto submission</w:t>
        <w:br/>
        <w:t>Sometimes, students take this rating course that have not taken the PolicyCenter Introduction course.</w:t>
        <w:br/>
        <w:br/>
        <w:t>The purpose of this demo is to ensure that all students understand how to work with submissions because they will be doing this later in the course.</w:t>
        <w:br/>
        <w:br/>
        <w:t>This is a modified version of the demos from the PolicyCenter Introduction course, so if the students already understand how to work with submissions, these demos may be skipped.</w:t>
      </w:r>
    </w:p>
    <w:p>
      <w:pPr>
        <w:pStyle w:val="Heading3"/>
      </w:pPr>
      <w:r>
        <w:rPr>
          <w:sz w:val="24"/>
        </w:rPr>
        <w:t>Slide 12/41: (Untitled)</w:t>
      </w:r>
    </w:p>
    <w:p>
      <w:r>
        <w:rPr>
          <w:i/>
          <w:color w:val="888888"/>
        </w:rPr>
        <w:t>[Image placeholder]</w:t>
      </w:r>
    </w:p>
    <w:p>
      <w:pPr>
        <w:spacing w:before="80" w:after="80"/>
        <w:shd w:fill="E8E8E8" w:val="clear"/>
      </w:pPr>
      <w:r>
        <w:rPr>
          <w:i/>
          <w:color w:val="444444"/>
          <w:sz w:val="18"/>
        </w:rPr>
        <w:t>Speaker Notes: Demonstration – Commercial Property submission</w:t>
        <w:br/>
        <w:t>Sometimes, students take this rating course that have not taken the PolicyCenter Introduction course.</w:t>
        <w:br/>
        <w:br/>
        <w:t>The purpose of this demo is to ensure that all students understand how to work with submissions because they will be doing this later in the course.</w:t>
        <w:br/>
        <w:br/>
        <w:t>This is a modified version of the demos from the PolicyCenter Introduction course, so if the students already understand how to work with submissions, these demos may be skipped.</w:t>
      </w:r>
    </w:p>
    <w:p>
      <w:pPr>
        <w:pStyle w:val="Heading3"/>
      </w:pPr>
      <w:r>
        <w:rPr>
          <w:sz w:val="24"/>
        </w:rPr>
        <w:t>Slide 13/41: (Untitled)</w:t>
      </w:r>
    </w:p>
    <w:p>
      <w:pPr>
        <w:spacing w:before="80" w:after="80"/>
        <w:shd w:fill="E8E8E8" w:val="clear"/>
      </w:pPr>
      <w:r>
        <w:rPr>
          <w:i/>
          <w:color w:val="444444"/>
          <w:sz w:val="18"/>
        </w:rPr>
        <w:t>Speaker Notes: Demonstration – Commercial Property submission</w:t>
        <w:br/>
        <w:t>Sometimes, students take this rating course that have not taken the PolicyCenter Introduction course.</w:t>
        <w:br/>
        <w:br/>
        <w:t>The purpose of this demo is to ensure that all students understand how to work with submissions because they will be doing this later in the course.</w:t>
        <w:br/>
        <w:br/>
        <w:t>This is a modified version of the demos from the PolicyCenter Introduction course, so if the students already understand how to work with submissions, these demos may be skipped.</w:t>
      </w:r>
    </w:p>
    <w:p>
      <w:pPr>
        <w:pStyle w:val="Heading3"/>
      </w:pPr>
      <w:r>
        <w:rPr>
          <w:sz w:val="24"/>
        </w:rPr>
        <w:t>Slide 14/41: (Untitled)</w:t>
      </w:r>
    </w:p>
    <w:p>
      <w:r>
        <w:rPr>
          <w:i/>
          <w:color w:val="888888"/>
        </w:rPr>
        <w:t>[Image placeholder]</w:t>
      </w:r>
    </w:p>
    <w:p>
      <w:pPr>
        <w:pStyle w:val="Heading3"/>
      </w:pPr>
      <w:r>
        <w:rPr>
          <w:sz w:val="24"/>
        </w:rPr>
        <w:t>Slide 15/41: (Untitled)</w:t>
      </w:r>
    </w:p>
    <w:p>
      <w:pPr>
        <w:pStyle w:val="Heading3"/>
      </w:pPr>
      <w:r>
        <w:rPr>
          <w:sz w:val="24"/>
        </w:rPr>
        <w:t>Slide 16/41: (Untitled)</w:t>
      </w:r>
    </w:p>
    <w:p>
      <w:r>
        <w:rPr>
          <w:i/>
          <w:color w:val="888888"/>
        </w:rPr>
        <w:t>[Image placeholder]</w:t>
      </w:r>
    </w:p>
    <w:p>
      <w:pPr>
        <w:pStyle w:val="Heading3"/>
      </w:pPr>
      <w:r>
        <w:rPr>
          <w:sz w:val="24"/>
        </w:rPr>
        <w:t>Slide 17/41: (Untitled)</w:t>
      </w:r>
    </w:p>
    <w:p>
      <w:r>
        <w:rPr>
          <w:i/>
          <w:color w:val="888888"/>
        </w:rPr>
        <w:t>[Image placeholder]</w:t>
      </w:r>
    </w:p>
    <w:p>
      <w:pPr>
        <w:spacing w:before="80" w:after="80"/>
        <w:shd w:fill="E8E8E8" w:val="clear"/>
      </w:pPr>
      <w:r>
        <w:rPr>
          <w:i/>
          <w:color w:val="444444"/>
          <w:sz w:val="18"/>
        </w:rPr>
        <w:t>Speaker Notes: Rate tables and rate table definitions</w:t>
        <w:br/>
        <w:t>Rate tables provide definitions for a rate factor lookup table. Rate table content is defined within a rate book. Rate tables contain columns representing parameters used to lookup a value, known as a factor. You can use a factor as a rate factor, class, or tier, or as code for use in further lookups. You can view, create, or edit rate tables in PolicyCenter. For example, you can edit rates or add entries for new coverages and limits. For a particular rate table definition, you can specify the parameter combinations and resulting rate factors to assign to that combination.</w:t>
      </w:r>
    </w:p>
    <w:p>
      <w:pPr>
        <w:pStyle w:val="Heading3"/>
      </w:pPr>
      <w:r>
        <w:rPr>
          <w:sz w:val="24"/>
        </w:rPr>
        <w:t>Slide 18/41: (Untitled)</w:t>
      </w:r>
    </w:p>
    <w:p>
      <w:r>
        <w:rPr>
          <w:i/>
          <w:color w:val="888888"/>
        </w:rPr>
        <w:t>[Image placeholder]</w:t>
      </w:r>
    </w:p>
    <w:p>
      <w:pPr>
        <w:pStyle w:val="Heading3"/>
      </w:pPr>
      <w:r>
        <w:rPr>
          <w:sz w:val="24"/>
        </w:rPr>
        <w:t>Slide 19/41: (Untitled)</w:t>
      </w:r>
    </w:p>
    <w:p>
      <w:r>
        <w:rPr>
          <w:i/>
          <w:color w:val="888888"/>
        </w:rPr>
        <w:t>[Image placeholder]</w:t>
      </w:r>
    </w:p>
    <w:p>
      <w:pPr>
        <w:pStyle w:val="Heading3"/>
      </w:pPr>
      <w:r>
        <w:rPr>
          <w:sz w:val="24"/>
        </w:rPr>
        <w:t>Slide 20/41: (Untitled)</w:t>
      </w:r>
    </w:p>
    <w:p>
      <w:r>
        <w:rPr>
          <w:i/>
          <w:color w:val="888888"/>
        </w:rPr>
        <w:t>[Image placeholder]</w:t>
      </w:r>
    </w:p>
    <w:p>
      <w:pPr>
        <w:pStyle w:val="Heading3"/>
      </w:pPr>
      <w:r>
        <w:rPr>
          <w:sz w:val="24"/>
        </w:rPr>
        <w:t>Slide 21/41: (Untitled)</w:t>
      </w:r>
    </w:p>
    <w:p>
      <w:r>
        <w:rPr>
          <w:i/>
          <w:color w:val="888888"/>
        </w:rPr>
        <w:t>[Image placeholder]</w:t>
      </w:r>
    </w:p>
    <w:p>
      <w:pPr>
        <w:pStyle w:val="Heading3"/>
      </w:pPr>
      <w:r>
        <w:rPr>
          <w:sz w:val="24"/>
        </w:rPr>
        <w:t>Slide 22/41: (Untitled)</w:t>
      </w:r>
    </w:p>
    <w:p>
      <w:r>
        <w:rPr>
          <w:i/>
          <w:color w:val="888888"/>
        </w:rPr>
        <w:t>[Image placeholder]</w:t>
      </w:r>
    </w:p>
    <w:p>
      <w:pPr>
        <w:pStyle w:val="Heading3"/>
      </w:pPr>
      <w:r>
        <w:rPr>
          <w:sz w:val="24"/>
        </w:rPr>
        <w:t>Slide 23/41: (Untitled)</w:t>
      </w:r>
    </w:p>
    <w:p>
      <w:r>
        <w:rPr>
          <w:i/>
          <w:color w:val="888888"/>
        </w:rPr>
        <w:t>[Image placeholder]</w:t>
      </w:r>
    </w:p>
    <w:p>
      <w:pPr>
        <w:pStyle w:val="Heading3"/>
      </w:pPr>
      <w:r>
        <w:rPr>
          <w:sz w:val="24"/>
        </w:rPr>
        <w:t>Slide 24/41: (Untitled)</w:t>
      </w:r>
    </w:p>
    <w:p>
      <w:r>
        <w:rPr>
          <w:i/>
          <w:color w:val="888888"/>
        </w:rPr>
        <w:t>[Image placeholder]</w:t>
      </w:r>
    </w:p>
    <w:p>
      <w:pPr>
        <w:spacing w:before="80" w:after="80"/>
        <w:shd w:fill="E8E8E8" w:val="clear"/>
      </w:pPr>
      <w:r>
        <w:rPr>
          <w:i/>
          <w:color w:val="444444"/>
          <w:sz w:val="18"/>
        </w:rPr>
        <w:t>Speaker Notes: Rate routines</w:t>
        <w:br/>
        <w:t>You can use a rate routine:</w:t>
        <w:br/>
        <w:br/>
        <w:t>To calculate properties on cost for coverages, taxes, and other policy costs.</w:t>
        <w:br/>
        <w:br/>
        <w:t>To set up rating information for use by another rate routine.</w:t>
      </w:r>
    </w:p>
    <w:p>
      <w:pPr>
        <w:pStyle w:val="Heading3"/>
      </w:pPr>
      <w:r>
        <w:rPr>
          <w:sz w:val="24"/>
        </w:rPr>
        <w:t>Slide 25/41: (Untitled)</w:t>
      </w:r>
    </w:p>
    <w:p>
      <w:r>
        <w:rPr>
          <w:i/>
          <w:color w:val="888888"/>
        </w:rPr>
        <w:t>[Image placeholder]</w:t>
      </w:r>
    </w:p>
    <w:p>
      <w:pPr>
        <w:spacing w:before="80" w:after="80"/>
        <w:shd w:fill="E8E8E8" w:val="clear"/>
      </w:pPr>
      <w:r>
        <w:rPr>
          <w:i/>
          <w:color w:val="444444"/>
          <w:sz w:val="18"/>
        </w:rPr>
        <w:t>Speaker Notes: Rate books</w:t>
        <w:br/>
        <w:t>A rate book can have an implied rate order or rate steps; rate flow can be included in the rate book.</w:t>
      </w:r>
    </w:p>
    <w:p>
      <w:pPr>
        <w:pStyle w:val="Heading3"/>
      </w:pPr>
      <w:r>
        <w:rPr>
          <w:sz w:val="24"/>
        </w:rPr>
        <w:t>Slide 26/41: (Untitled)</w:t>
      </w:r>
    </w:p>
    <w:p>
      <w:r>
        <w:rPr>
          <w:i/>
          <w:color w:val="888888"/>
        </w:rPr>
        <w:t>[Image placeholder]</w:t>
      </w:r>
    </w:p>
    <w:p>
      <w:pPr>
        <w:spacing w:before="80" w:after="80"/>
        <w:shd w:fill="E8E8E8" w:val="clear"/>
      </w:pPr>
      <w:r>
        <w:rPr>
          <w:i/>
          <w:color w:val="444444"/>
          <w:sz w:val="18"/>
        </w:rPr>
        <w:t>Speaker Notes: Rating engine and rate flow</w:t>
        <w:br/>
        <w:t>Rate flow is the logic used in the rating engine. It orchestrates the premium calculation for a policy line and coordinates actions among the various rating components.</w:t>
        <w:br/>
        <w:br/>
        <w:t>For more technical audiences:</w:t>
        <w:br/>
        <w:br/>
        <w:t>Rate flows are a subset of the rating plugin.</w:t>
        <w:br/>
        <w:t>The rateS!ice method is the container for the flow. An example is provided in the base configuration for commercial property and personal auto policies.</w:t>
        <w:br/>
        <w:br/>
        <w:t>Some implementations require a different rate flow strategy than what is provided in the base configuratiom For example, an implementation may need to rate multi-line policies as a single component. To implement this, override the rateOnly method in the AbstractRatjngEngid2.e class to express the needed logic. Another alternative rate flow is to include the rate flow in a table rather than hard-coding the rate routines. Hard-coding rate routines is not recommended.</w:t>
      </w:r>
    </w:p>
    <w:p>
      <w:pPr>
        <w:pStyle w:val="Heading3"/>
      </w:pPr>
      <w:r>
        <w:rPr>
          <w:sz w:val="24"/>
        </w:rPr>
        <w:t>Slide 27/41: (Untitled)</w:t>
      </w:r>
    </w:p>
    <w:p>
      <w:r>
        <w:rPr>
          <w:i/>
          <w:color w:val="888888"/>
        </w:rPr>
        <w:t>[Image placeholder]</w:t>
      </w:r>
    </w:p>
    <w:p>
      <w:pPr>
        <w:pStyle w:val="Heading3"/>
      </w:pPr>
      <w:r>
        <w:rPr>
          <w:sz w:val="24"/>
        </w:rPr>
        <w:t>Slide 28/41: (Untitled)</w:t>
      </w:r>
    </w:p>
    <w:p>
      <w:r>
        <w:rPr>
          <w:i/>
          <w:color w:val="888888"/>
        </w:rPr>
        <w:t>[Image placeholder]</w:t>
      </w:r>
    </w:p>
    <w:p>
      <w:pPr>
        <w:pStyle w:val="Heading3"/>
      </w:pPr>
      <w:r>
        <w:rPr>
          <w:sz w:val="24"/>
        </w:rPr>
        <w:t>Slide 29/41: (Untitled)</w:t>
      </w:r>
    </w:p>
    <w:p>
      <w:r>
        <w:rPr>
          <w:i/>
          <w:color w:val="888888"/>
        </w:rPr>
        <w:t>[Image placeholder]</w:t>
      </w:r>
    </w:p>
    <w:p>
      <w:pPr>
        <w:pStyle w:val="Heading3"/>
      </w:pPr>
      <w:r>
        <w:rPr>
          <w:sz w:val="24"/>
        </w:rPr>
        <w:t>Slide 30/41: (Untitled)</w:t>
      </w:r>
    </w:p>
    <w:p>
      <w:r>
        <w:rPr>
          <w:i/>
          <w:color w:val="888888"/>
        </w:rPr>
        <w:t>[Image placeholder]</w:t>
      </w:r>
    </w:p>
    <w:p>
      <w:pPr>
        <w:spacing w:before="80" w:after="80"/>
        <w:shd w:fill="E8E8E8" w:val="clear"/>
      </w:pPr>
      <w:r>
        <w:rPr>
          <w:i/>
          <w:color w:val="444444"/>
          <w:sz w:val="18"/>
        </w:rPr>
        <w:t>Speaker Notes: Move rating content to PolicyCenter</w:t>
        <w:br/>
        <w:t>By moving to PolicyCenter, you are implementing a Policy Administration System. Your existing rating content is probably not ready for the system. While the rating manual stays the same, you must focus early efforts on adjusting the rating content format so that it works in the PolicyCenter.</w:t>
      </w:r>
    </w:p>
    <w:p>
      <w:pPr>
        <w:pStyle w:val="Heading3"/>
      </w:pPr>
      <w:r>
        <w:rPr>
          <w:sz w:val="24"/>
        </w:rPr>
        <w:t>Slide 31/41: (Untitled)</w:t>
      </w:r>
    </w:p>
    <w:p>
      <w:r>
        <w:rPr>
          <w:i/>
          <w:color w:val="888888"/>
        </w:rPr>
        <w:t>[Image placeholder]</w:t>
      </w:r>
    </w:p>
    <w:p>
      <w:pPr>
        <w:spacing w:before="80" w:after="80"/>
        <w:shd w:fill="E8E8E8" w:val="clear"/>
      </w:pPr>
      <w:r>
        <w:rPr>
          <w:i/>
          <w:color w:val="444444"/>
          <w:sz w:val="18"/>
        </w:rPr>
        <w:t>Speaker Notes: The actuary's (or rating analyst's) role</w:t>
        <w:br/>
        <w:t>Before you can rate using PolicyCenter, you (actuaries and rating specialists) need to examine the rating content and the format so that it makes sense to PolicyCenter. The rating manual will remain the same.</w:t>
        <w:br/>
        <w:br/>
        <w:t>Start at the coverage level, then look at the various aspects that influence the rating.</w:t>
      </w:r>
    </w:p>
    <w:p>
      <w:pPr>
        <w:pStyle w:val="Heading3"/>
      </w:pPr>
      <w:r>
        <w:rPr>
          <w:sz w:val="24"/>
        </w:rPr>
        <w:t>Slide 32/41: (Untitled)</w:t>
      </w:r>
    </w:p>
    <w:p>
      <w:r>
        <w:rPr>
          <w:i/>
          <w:color w:val="888888"/>
        </w:rPr>
        <w:t>[Image placeholder]</w:t>
      </w:r>
    </w:p>
    <w:p>
      <w:pPr>
        <w:spacing w:before="80" w:after="80"/>
        <w:shd w:fill="E8E8E8" w:val="clear"/>
      </w:pPr>
      <w:r>
        <w:rPr>
          <w:i/>
          <w:color w:val="444444"/>
          <w:sz w:val="18"/>
        </w:rPr>
        <w:t>Speaker Notes: Rating user stories: Example implementation stories</w:t>
        <w:br/>
        <w:t>The rate book 'locks' in the rates and routines that insurers have to file with each state.</w:t>
      </w:r>
    </w:p>
    <w:p>
      <w:pPr>
        <w:pStyle w:val="Heading3"/>
      </w:pPr>
      <w:r>
        <w:rPr>
          <w:sz w:val="24"/>
        </w:rPr>
        <w:t>Slide 33/41: (Untitled)</w:t>
      </w:r>
    </w:p>
    <w:p>
      <w:r>
        <w:rPr>
          <w:i/>
          <w:color w:val="888888"/>
        </w:rPr>
        <w:t>[Image placeholder]</w:t>
      </w:r>
    </w:p>
    <w:p>
      <w:pPr>
        <w:spacing w:before="80" w:after="80"/>
        <w:shd w:fill="E8E8E8" w:val="clear"/>
      </w:pPr>
      <w:r>
        <w:rPr>
          <w:i/>
          <w:color w:val="444444"/>
          <w:sz w:val="18"/>
        </w:rPr>
        <w:t>Speaker Notes: Starting with this...</w:t>
        <w:br/>
        <w:t>Each rating implementation starts from a different place. For example, a rating analyst may have a spreadsheet with existing rating data, or it may be contained in the existing system in another format. In this example, the actuary or rating specialist must organize the information into a PolicyCenter- ready format for rating configuration and premium validatiom</w:t>
      </w:r>
    </w:p>
    <w:p>
      <w:pPr>
        <w:pStyle w:val="Heading3"/>
      </w:pPr>
      <w:r>
        <w:rPr>
          <w:sz w:val="24"/>
        </w:rPr>
        <w:t>Slide 34/41: (Untitled)</w:t>
      </w:r>
    </w:p>
    <w:p>
      <w:r>
        <w:rPr>
          <w:i/>
          <w:color w:val="888888"/>
        </w:rPr>
        <w:t>[Image placeholder]</w:t>
      </w:r>
    </w:p>
    <w:p>
      <w:pPr>
        <w:spacing w:before="80" w:after="80"/>
        <w:shd w:fill="E8E8E8" w:val="clear"/>
      </w:pPr>
      <w:r>
        <w:rPr>
          <w:i/>
          <w:color w:val="444444"/>
          <w:sz w:val="18"/>
        </w:rPr>
        <w:t>Speaker Notes: Go to this...</w:t>
        <w:br/>
        <w:t>Organize your rating information in a way that defines the logical flow for each coverage and focus on the algorithm needed to arrive at a calculation for cost In this example, the needed data for each rate routine came from the rate tables. This table shows what is needed to organize the rating content by coverable and by coverage.</w:t>
        <w:br/>
        <w:br/>
        <w:t>If you can get to this point, you are in a position to clearly describe the requirements for a PolicyCenter rating implementation.</w:t>
      </w:r>
    </w:p>
    <w:p>
      <w:pPr>
        <w:pStyle w:val="Heading3"/>
      </w:pPr>
      <w:r>
        <w:rPr>
          <w:sz w:val="24"/>
        </w:rPr>
        <w:t>Slide 35/41: (Untitled)</w:t>
      </w:r>
    </w:p>
    <w:p>
      <w:r>
        <w:rPr>
          <w:i/>
          <w:color w:val="888888"/>
        </w:rPr>
        <w:t>[Image placeholder]</w:t>
      </w:r>
    </w:p>
    <w:p>
      <w:pPr>
        <w:spacing w:before="80" w:after="80"/>
        <w:shd w:fill="E8E8E8" w:val="clear"/>
      </w:pPr>
      <w:r>
        <w:rPr>
          <w:i/>
          <w:color w:val="444444"/>
          <w:sz w:val="18"/>
        </w:rPr>
        <w:t>Speaker Notes: Review: What is required?</w:t>
        <w:br/>
        <w:t>The goal of the rating content •translation" is to arrive at the following components: Costs,  Rate Flow, Rate Routines* ,  Rate Tables*</w:t>
        <w:br/>
        <w:br/>
        <w:t>The existing rating 'state’ determines the work required to transform' rating content. Rating content may already exist, but its exact state varies. Any of the following could be true:</w:t>
        <w:br/>
        <w:br/>
        <w:t>1) The rates are available in a spreadsheet for calculation, or the rates can be automatically rated using a predetermined formula</w:t>
        <w:br/>
        <w:br/>
        <w:t>2) A spreadsheet model is available for rate calculation</w:t>
        <w:br/>
        <w:br/>
        <w:t>3) The rating content exists in a PDF or manual</w:t>
        <w:br/>
        <w:br/>
        <w:t xml:space="preserve">REVIEW: Rate flow is the rating engine logic- It orchestrates the premium calculation for a policy line. </w:t>
        <w:br/>
        <w:br/>
        <w:t>For a more technical audience:</w:t>
        <w:br/>
        <w:br/>
        <w:t>Rate flows are a subset of the Rating plugin and the rateSlice method is the container for the flow. An example is provided in the base configuration for commercial property (CP) and personal auto (PA) policies. Some implementations require different rate flow strategies than what is provided in base configuration. For example, an implementation may need to rate multi-line policies as a single component. To implement this, override the rateOnly method in the AÅ±actRatngEnguze class to express the needed logic.</w:t>
        <w:br/>
        <w:br/>
        <w:t>Rate Routines and Rate Tables are of particular interest to actuaries because this is the most familiar data- Rate books are a group of rate tables and rate routines; the rate flow logic selects the rate book that will be used to access rate tables and rate routines.</w:t>
      </w:r>
    </w:p>
    <w:p>
      <w:pPr>
        <w:pStyle w:val="Heading3"/>
      </w:pPr>
      <w:r>
        <w:rPr>
          <w:sz w:val="24"/>
        </w:rPr>
        <w:t>Slide 36/41: (Untitled)</w:t>
      </w:r>
    </w:p>
    <w:p>
      <w:r>
        <w:rPr>
          <w:i/>
          <w:color w:val="888888"/>
        </w:rPr>
        <w:t>[Image placeholder]</w:t>
      </w:r>
    </w:p>
    <w:p>
      <w:pPr>
        <w:spacing w:before="80" w:after="80"/>
        <w:shd w:fill="E8E8E8" w:val="clear"/>
      </w:pPr>
      <w:r>
        <w:rPr>
          <w:i/>
          <w:color w:val="444444"/>
          <w:sz w:val="18"/>
        </w:rPr>
        <w:t>Speaker Notes: Rate flow implementation approach</w:t>
        <w:br/>
        <w:t>Rate Flow defines the order of execution.</w:t>
        <w:br/>
        <w:br/>
        <w:t>System table rating engines have rate routines hard coded as a sample or demo of rating capabilities.</w:t>
        <w:br/>
        <w:br/>
        <w:t>Simple rate LOBs may not require much beyond the PA OOTB PA Rating Engine.</w:t>
        <w:br/>
        <w:br/>
        <w:t>Recommended practice is not to hard code rate routines.</w:t>
        <w:br/>
        <w:br/>
        <w:t>See the WC Basic Template or the Rate Flow Order Accelerator for samples.</w:t>
      </w:r>
    </w:p>
    <w:p>
      <w:pPr>
        <w:pStyle w:val="Heading3"/>
      </w:pPr>
      <w:r>
        <w:rPr>
          <w:sz w:val="24"/>
        </w:rPr>
        <w:t>Slide 37/41: (Untitled)</w:t>
      </w:r>
    </w:p>
    <w:p>
      <w:r>
        <w:rPr>
          <w:i/>
          <w:color w:val="888888"/>
        </w:rPr>
        <w:t>[Image placeholder]</w:t>
      </w:r>
    </w:p>
    <w:p>
      <w:pPr>
        <w:pStyle w:val="Heading3"/>
      </w:pPr>
      <w:r>
        <w:rPr>
          <w:sz w:val="24"/>
        </w:rPr>
        <w:t>Slide 38/41: (Untitled)</w:t>
      </w:r>
    </w:p>
    <w:p>
      <w:r>
        <w:rPr>
          <w:i/>
          <w:color w:val="888888"/>
        </w:rPr>
        <w:t>[Image placeholder]</w:t>
      </w:r>
    </w:p>
    <w:p>
      <w:pPr>
        <w:pStyle w:val="Heading3"/>
      </w:pPr>
      <w:r>
        <w:rPr>
          <w:sz w:val="24"/>
        </w:rPr>
        <w:t>Slide 39/41: (Untitled)</w:t>
      </w:r>
    </w:p>
    <w:p>
      <w:r>
        <w:rPr>
          <w:i/>
          <w:color w:val="888888"/>
        </w:rPr>
        <w:t>[Image placeholder]</w:t>
      </w:r>
    </w:p>
    <w:p>
      <w:pPr>
        <w:pStyle w:val="Heading3"/>
      </w:pPr>
      <w:r>
        <w:rPr>
          <w:sz w:val="24"/>
        </w:rPr>
        <w:t>Slide 40/41: (Untitled)</w:t>
      </w:r>
    </w:p>
    <w:p>
      <w:r>
        <w:rPr>
          <w:i/>
          <w:color w:val="888888"/>
        </w:rPr>
        <w:t>[Image placeholder]</w:t>
      </w:r>
    </w:p>
    <w:p>
      <w:pPr>
        <w:pStyle w:val="Heading3"/>
      </w:pPr>
      <w:r>
        <w:rPr>
          <w:sz w:val="24"/>
        </w:rPr>
        <w:t>Slide 41/41: (Untitled)</w:t>
      </w:r>
    </w:p>
    <w:p>
      <w:r>
        <w:rPr>
          <w:i/>
          <w:color w:val="888888"/>
        </w:rPr>
        <w:t>[Image placeholder]</w:t>
      </w:r>
    </w:p>
    <w:p/>
    <w:p>
      <w:pPr>
        <w:spacing w:before="240"/>
        <w:jc w:val="center"/>
      </w:pPr>
      <w:r>
        <w:rPr>
          <w:i/>
          <w:color w:val="999999"/>
          <w:sz w:val="16"/>
        </w:rPr>
        <w:t>--- End of Lesson 1: Rating Business Overview | 41 slides | 11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