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13: Rating Introduction</w:t>
      </w:r>
    </w:p>
    <w:p>
      <w:pPr>
        <w:pStyle w:val="Heading2"/>
      </w:pPr>
      <w:r>
        <w:rPr>
          <w:color w:val="333333"/>
          <w:sz w:val="28"/>
        </w:rPr>
        <w:t>Lesson 2: Costs and Financial Transactions</w:t>
      </w:r>
    </w:p>
    <w:p>
      <w:pPr>
        <w:spacing w:after="40"/>
      </w:pPr>
      <w:r>
        <w:rPr>
          <w:i/>
          <w:color w:val="999999"/>
          <w:sz w:val="16"/>
        </w:rPr>
        <w:t>Source: Costs and Financial Transactions.pptx</w:t>
      </w:r>
    </w:p>
    <w:p>
      <w:pPr>
        <w:pStyle w:val="Heading3"/>
      </w:pPr>
      <w:r>
        <w:t>Video References</w:t>
      </w:r>
    </w:p>
    <w:p>
      <w:pPr>
        <w:pStyle w:val="ListNumber"/>
      </w:pPr>
      <w:r>
        <w:rPr>
          <w:color w:val="0066CC"/>
          <w:sz w:val="20"/>
        </w:rPr>
        <w:t>[Video 1: Ra_Intro_01_01.mp4]</w:t>
      </w:r>
    </w:p>
    <w:p>
      <w:pPr>
        <w:pStyle w:val="ListNumber"/>
      </w:pPr>
      <w:r>
        <w:rPr>
          <w:color w:val="0066CC"/>
          <w:sz w:val="20"/>
        </w:rPr>
        <w:t>[Video 2: Ra_Intro_01_02.mp4]</w:t>
      </w:r>
    </w:p>
    <w:p>
      <w:pPr>
        <w:pStyle w:val="ListNumber"/>
      </w:pPr>
      <w:r>
        <w:rPr>
          <w:color w:val="0066CC"/>
          <w:sz w:val="20"/>
        </w:rPr>
        <w:t>[Video 3: Ra_Intro_01_03.mp4]</w:t>
      </w:r>
    </w:p>
    <w:p>
      <w:pPr>
        <w:pStyle w:val="ListNumber"/>
      </w:pPr>
      <w:r>
        <w:rPr>
          <w:color w:val="0066CC"/>
          <w:sz w:val="20"/>
        </w:rPr>
        <w:t>[Video 4: Ra_Intro_02_02.mp4]</w:t>
      </w:r>
    </w:p>
    <w:p>
      <w:pPr>
        <w:pStyle w:val="ListNumber"/>
      </w:pPr>
      <w:r>
        <w:rPr>
          <w:color w:val="0066CC"/>
          <w:sz w:val="20"/>
        </w:rPr>
        <w:t>[Video 5: Ra_Intro_03_01.mp4]</w:t>
      </w:r>
    </w:p>
    <w:p>
      <w:pPr>
        <w:pStyle w:val="ListNumber"/>
      </w:pPr>
      <w:r>
        <w:rPr>
          <w:color w:val="0066CC"/>
          <w:sz w:val="20"/>
        </w:rPr>
        <w:t>[Video 6: Ra_Intro_04_01.mp4]</w:t>
      </w:r>
    </w:p>
    <w:p>
      <w:pPr>
        <w:pStyle w:val="ListNumber"/>
      </w:pPr>
      <w:r>
        <w:rPr>
          <w:color w:val="0066CC"/>
          <w:sz w:val="20"/>
        </w:rPr>
        <w:t>[Video 7: Ra_Intro_05_01.mp4]</w:t>
      </w:r>
    </w:p>
    <w:p>
      <w:pPr>
        <w:pStyle w:val="ListNumber"/>
      </w:pPr>
      <w:r>
        <w:rPr>
          <w:color w:val="0066CC"/>
          <w:sz w:val="20"/>
        </w:rPr>
        <w:t>[Video 8: Ra_Intro_05_02.mp4]</w:t>
      </w:r>
    </w:p>
    <w:p>
      <w:pPr>
        <w:pStyle w:val="ListNumber"/>
      </w:pPr>
      <w:r>
        <w:rPr>
          <w:color w:val="0066CC"/>
          <w:sz w:val="20"/>
        </w:rPr>
        <w:t>[Video 9: Ra_Intro_06_01.mp4]</w:t>
      </w:r>
    </w:p>
    <w:p>
      <w:pPr>
        <w:pStyle w:val="ListNumber"/>
      </w:pPr>
      <w:r>
        <w:rPr>
          <w:color w:val="0066CC"/>
          <w:sz w:val="20"/>
        </w:rPr>
        <w:t>[Video 10: Ra_Intro_07_01.mp4]</w:t>
      </w:r>
    </w:p>
    <w:p>
      <w:pPr>
        <w:pStyle w:val="ListNumber"/>
      </w:pPr>
      <w:r>
        <w:rPr>
          <w:color w:val="0066CC"/>
          <w:sz w:val="20"/>
        </w:rPr>
        <w:t>[Video 11: Ra_intro_02_01 .mp4]</w:t>
      </w:r>
    </w:p>
    <w:p/>
    <w:p>
      <w:pPr>
        <w:pStyle w:val="Heading2"/>
      </w:pPr>
      <w:r>
        <w:t>Slide Content</w:t>
      </w:r>
    </w:p>
    <w:p>
      <w:pPr>
        <w:pStyle w:val="Heading3"/>
      </w:pPr>
      <w:r>
        <w:rPr>
          <w:sz w:val="24"/>
        </w:rPr>
        <w:t>Slide 1/38: (Untitled)</w:t>
      </w:r>
    </w:p>
    <w:p>
      <w:r>
        <w:rPr>
          <w:i/>
          <w:color w:val="888888"/>
        </w:rPr>
        <w:t>[Image placeholder]</w:t>
      </w:r>
    </w:p>
    <w:p>
      <w:pPr>
        <w:pStyle w:val="Heading3"/>
      </w:pPr>
      <w:r>
        <w:rPr>
          <w:sz w:val="24"/>
        </w:rPr>
        <w:t>Slide 2/38: (Untitled)</w:t>
      </w:r>
    </w:p>
    <w:p>
      <w:r>
        <w:rPr>
          <w:i/>
          <w:color w:val="888888"/>
        </w:rPr>
        <w:t>[Image placeholder]</w:t>
      </w:r>
    </w:p>
    <w:p>
      <w:pPr>
        <w:pStyle w:val="Heading3"/>
      </w:pPr>
      <w:r>
        <w:rPr>
          <w:sz w:val="24"/>
        </w:rPr>
        <w:t>Slide 3/38: (Untitled)</w:t>
      </w:r>
    </w:p>
    <w:p>
      <w:r>
        <w:rPr>
          <w:i/>
          <w:color w:val="888888"/>
        </w:rPr>
        <w:t>[Image placeholder]</w:t>
      </w:r>
    </w:p>
    <w:p>
      <w:pPr>
        <w:pStyle w:val="Heading3"/>
      </w:pPr>
      <w:r>
        <w:rPr>
          <w:sz w:val="24"/>
        </w:rPr>
        <w:t>Slide 4/38: (Untitled)</w:t>
      </w:r>
    </w:p>
    <w:p>
      <w:r>
        <w:rPr>
          <w:i/>
          <w:color w:val="888888"/>
        </w:rPr>
        <w:t>[Image placeholder]</w:t>
      </w:r>
    </w:p>
    <w:p>
      <w:pPr>
        <w:spacing w:before="80" w:after="80"/>
        <w:shd w:fill="E8E8E8" w:val="clear"/>
      </w:pPr>
      <w:r>
        <w:rPr>
          <w:i/>
          <w:color w:val="444444"/>
          <w:sz w:val="18"/>
        </w:rPr>
        <w:t>Speaker Notes: Review: Rating results in a set of costs</w:t>
        <w:br/>
        <w:t>The rating engine can be Guidewire Rating Management or a third-party system that receives information about a policy transaction and returns a list of costs for that transactiom Rating inputs are the values that the end user provides. The rating engine uses the values to calculate costs, which are created when a policy is rated, and a quote is generated.</w:t>
        <w:br/>
        <w:br/>
        <w:t>For some types of policies, additional information may be used during rating. For example, in a workers' comp policy, the cost of covered employees are rated using the class code and payroll information. Basically, any data that that affects the premium of a policy can be used in rating.</w:t>
      </w:r>
    </w:p>
    <w:p>
      <w:pPr>
        <w:pStyle w:val="Heading3"/>
      </w:pPr>
      <w:r>
        <w:rPr>
          <w:sz w:val="24"/>
        </w:rPr>
        <w:t>Slide 5/38: (Untitled)</w:t>
      </w:r>
    </w:p>
    <w:p>
      <w:r>
        <w:rPr>
          <w:i/>
          <w:color w:val="888888"/>
        </w:rPr>
        <w:t>[Image placeholder]</w:t>
      </w:r>
    </w:p>
    <w:p>
      <w:pPr>
        <w:pStyle w:val="Heading3"/>
      </w:pPr>
      <w:r>
        <w:rPr>
          <w:sz w:val="24"/>
        </w:rPr>
        <w:t>Slide 6/38: (Untitled)</w:t>
      </w:r>
    </w:p>
    <w:p>
      <w:r>
        <w:rPr>
          <w:i/>
          <w:color w:val="888888"/>
        </w:rPr>
        <w:t>[Image placeholder]</w:t>
      </w:r>
    </w:p>
    <w:p>
      <w:pPr>
        <w:spacing w:before="80" w:after="80"/>
        <w:shd w:fill="E8E8E8" w:val="clear"/>
      </w:pPr>
      <w:r>
        <w:rPr>
          <w:i/>
          <w:color w:val="444444"/>
          <w:sz w:val="18"/>
        </w:rPr>
        <w:t>Speaker Notes: Costs</w:t>
        <w:br/>
        <w:t xml:space="preserve">Cost is the discrete unit of price for anything for a specific period of time. The total cost of a policy is the sum of the individual costs. </w:t>
        <w:br/>
        <w:br/>
        <w:t>Premium costs are costs for items on the policy, such as the cost of a line coverage)</w:t>
        <w:br/>
        <w:br/>
        <w:t>Non-premium costs are costs that are charged to the policy holder but are not charges for coverages. They are usually taxes or surcharges such as processing fees for a multi-installment payment plan that are directly applied to the amount of premium being charged.</w:t>
      </w:r>
    </w:p>
    <w:p>
      <w:pPr>
        <w:pStyle w:val="Heading3"/>
      </w:pPr>
      <w:r>
        <w:rPr>
          <w:sz w:val="24"/>
        </w:rPr>
        <w:t>Slide 7/38: (Untitled)</w:t>
      </w:r>
    </w:p>
    <w:p>
      <w:r>
        <w:rPr>
          <w:i/>
          <w:color w:val="888888"/>
        </w:rPr>
        <w:t>[Image placeholder]</w:t>
      </w:r>
    </w:p>
    <w:p>
      <w:pPr>
        <w:pStyle w:val="Heading3"/>
      </w:pPr>
      <w:r>
        <w:rPr>
          <w:sz w:val="24"/>
        </w:rPr>
        <w:t>Slide 8/38: (Untitled)</w:t>
      </w:r>
    </w:p>
    <w:p>
      <w:r>
        <w:rPr>
          <w:i/>
          <w:color w:val="888888"/>
        </w:rPr>
        <w:t>[Image placeholder]</w:t>
      </w:r>
    </w:p>
    <w:p>
      <w:pPr>
        <w:spacing w:before="80" w:after="80"/>
        <w:shd w:fill="E8E8E8" w:val="clear"/>
      </w:pPr>
      <w:r>
        <w:rPr>
          <w:i/>
          <w:color w:val="444444"/>
          <w:sz w:val="18"/>
        </w:rPr>
        <w:t>Speaker Notes: How are costs handled in PolicyCenter?</w:t>
        <w:br/>
        <w:t>The values BaseRate, AdjRate, Basis, ProrataFactor, TermAmount and Amount are all stored in the cost in Policy Center</w:t>
      </w:r>
    </w:p>
    <w:p>
      <w:pPr>
        <w:pStyle w:val="Heading3"/>
      </w:pPr>
      <w:r>
        <w:rPr>
          <w:sz w:val="24"/>
        </w:rPr>
        <w:t>Slide 9/38: (Untitled)</w:t>
      </w:r>
    </w:p>
    <w:p>
      <w:r>
        <w:rPr>
          <w:i/>
          <w:color w:val="888888"/>
        </w:rPr>
        <w:t>[Image placeholder]</w:t>
      </w:r>
    </w:p>
    <w:p>
      <w:pPr>
        <w:spacing w:before="80" w:after="80"/>
        <w:shd w:fill="E8E8E8" w:val="clear"/>
      </w:pPr>
      <w:r>
        <w:rPr>
          <w:i/>
          <w:color w:val="444444"/>
          <w:sz w:val="18"/>
        </w:rPr>
        <w:t>Speaker Notes: Costs</w:t>
        <w:br/>
        <w:t>In this example, there are several costs associated with a two-car personal auto policy. The collision and comprehensive coverages each have their own cost, and the liability coverage on each of the two vehicles has individual costs.  Finally, the tax is its own cost.  The total cost adds up to $615.  Notice that each cost, except tax,  is associated with a coverage.</w:t>
      </w:r>
    </w:p>
    <w:p>
      <w:pPr>
        <w:pStyle w:val="Heading3"/>
      </w:pPr>
      <w:r>
        <w:rPr>
          <w:sz w:val="24"/>
        </w:rPr>
        <w:t>Slide 10/38: (Untitled)</w:t>
      </w:r>
    </w:p>
    <w:p>
      <w:r>
        <w:rPr>
          <w:i/>
          <w:color w:val="888888"/>
        </w:rPr>
        <w:t>[Image placeholder]</w:t>
      </w:r>
    </w:p>
    <w:p>
      <w:pPr>
        <w:spacing w:before="80" w:after="80"/>
        <w:shd w:fill="E8E8E8" w:val="clear"/>
      </w:pPr>
      <w:r>
        <w:rPr>
          <w:i/>
          <w:color w:val="444444"/>
          <w:sz w:val="18"/>
        </w:rPr>
        <w:t>Speaker Notes: Rate scalable examples</w:t>
        <w:br/>
        <w:t>A rate scalable object is one that is priced by determining a term amount from the base and adjusted rates and then prorating that amount based on the amount of time the cost applies to the policy. Most insured objects are rate scalable.</w:t>
      </w:r>
    </w:p>
    <w:p>
      <w:pPr>
        <w:pStyle w:val="Heading3"/>
      </w:pPr>
      <w:r>
        <w:rPr>
          <w:sz w:val="24"/>
        </w:rPr>
        <w:t>Slide 11/38: (Untitled)</w:t>
      </w:r>
    </w:p>
    <w:p>
      <w:r>
        <w:rPr>
          <w:i/>
          <w:color w:val="888888"/>
        </w:rPr>
        <w:t>[Image placeholder]</w:t>
      </w:r>
    </w:p>
    <w:p>
      <w:pPr>
        <w:spacing w:before="80" w:after="80"/>
        <w:shd w:fill="E8E8E8" w:val="clear"/>
      </w:pPr>
      <w:r>
        <w:rPr>
          <w:i/>
          <w:color w:val="444444"/>
          <w:sz w:val="18"/>
        </w:rPr>
        <w:t>Speaker Notes: Example: Personal Auto coverage submission</w:t>
        <w:br/>
        <w:t>Something that is rate scalable is one that is priced by determining a term amount from the base and adjusted rates, and then prorating that amount based on the amount of time the cost applies to the policy.</w:t>
        <w:br/>
        <w:br/>
        <w:t xml:space="preserve">Pro rata: The length of time for which a coverage is effective,  divided by the total number of days in a rating period </w:t>
        <w:br/>
        <w:br/>
        <w:t>Base rate: The base rate is the rate for a particular coverable or coverage according to a rate table. The base rate is commonly found in a lookup table.</w:t>
        <w:br/>
        <w:br/>
        <w:t>Rate factor 1 is used because the selected coverage type uses a rate higher than the base rate.  Rate factor 2 is selected because the deductible is lower than the base rate deductible.</w:t>
      </w:r>
    </w:p>
    <w:p>
      <w:pPr>
        <w:pStyle w:val="Heading3"/>
      </w:pPr>
      <w:r>
        <w:rPr>
          <w:sz w:val="24"/>
        </w:rPr>
        <w:t>Slide 12/38: (Untitled)</w:t>
      </w:r>
    </w:p>
    <w:p>
      <w:r>
        <w:rPr>
          <w:i/>
          <w:color w:val="888888"/>
        </w:rPr>
        <w:t>[Image placeholder]</w:t>
      </w:r>
    </w:p>
    <w:p>
      <w:pPr>
        <w:spacing w:before="80" w:after="80"/>
        <w:shd w:fill="E8E8E8" w:val="clear"/>
      </w:pPr>
      <w:r>
        <w:rPr>
          <w:i/>
          <w:color w:val="444444"/>
          <w:sz w:val="18"/>
        </w:rPr>
        <w:t>Speaker Notes: Basis scalable and the term amount</w:t>
        <w:br/>
        <w:t>The term •basis scalable" refers to something that is priced according to a term amount of the rating basis — like dollars of sales over the policy term. The basis is prorated to the policy term.</w:t>
      </w:r>
    </w:p>
    <w:p>
      <w:pPr>
        <w:pStyle w:val="Heading3"/>
      </w:pPr>
      <w:r>
        <w:rPr>
          <w:sz w:val="24"/>
        </w:rPr>
        <w:t>Slide 13/38: (Untitled)</w:t>
      </w:r>
    </w:p>
    <w:p>
      <w:r>
        <w:rPr>
          <w:i/>
          <w:color w:val="888888"/>
        </w:rPr>
        <w:t>[Image placeholder]</w:t>
      </w:r>
    </w:p>
    <w:p>
      <w:pPr>
        <w:spacing w:before="80" w:after="80"/>
        <w:shd w:fill="E8E8E8" w:val="clear"/>
      </w:pPr>
      <w:r>
        <w:rPr>
          <w:i/>
          <w:color w:val="444444"/>
          <w:sz w:val="18"/>
        </w:rPr>
        <w:t>Speaker Notes: General Liability exposure and coverage submission</w:t>
        <w:br/>
        <w:t>This example shows two versions of basis scalable general liability (GL) policies where the exposure basis is dollars of sales. The adjusted rate is an example of the adjustment to the base rate. Note that the rating engine will determine which exposures are rate scalable and which are basis scalable. In this case, we are assuming a basis scalable scenario. See the product documentation for more specifics about the rating engine strategy for general liability exposures.</w:t>
        <w:br/>
        <w:br/>
        <w:t>The term abasis scalable" refers to something priced according to a term amount of the value being insured. The term amount is the premium or cost calculated for the basis amount for the term. If the YEARLY sales are $500,000, but the policy term is 6 months, the Basis is scaled to $250,00 — that is the value at risk for the term.</w:t>
        <w:br/>
        <w:br/>
        <w:t>By default, the basis' value is "1“ for rate scalable material objects such as cars and homes. However, some exposure-based coverages are calculated from amounts like payroll or sales  (e.g., general liability or workers’ compensation policies). In this example, the basis is a sales amount.</w:t>
        <w:br/>
        <w:br/>
        <w:t>A term amount is the adjusted rate multiplied by the basis (full rate term premium).  Basis-rated coverages per premium rate/basis amount.</w:t>
      </w:r>
    </w:p>
    <w:p>
      <w:pPr>
        <w:pStyle w:val="Heading3"/>
      </w:pPr>
      <w:r>
        <w:rPr>
          <w:sz w:val="24"/>
        </w:rPr>
        <w:t>Slide 14/38: (Untitled)</w:t>
      </w:r>
    </w:p>
    <w:p>
      <w:r>
        <w:rPr>
          <w:i/>
          <w:color w:val="888888"/>
        </w:rPr>
        <w:t>[Image placeholder]</w:t>
      </w:r>
    </w:p>
    <w:p>
      <w:pPr>
        <w:spacing w:before="80" w:after="80"/>
        <w:shd w:fill="E8E8E8" w:val="clear"/>
      </w:pPr>
      <w:r>
        <w:rPr>
          <w:i/>
          <w:color w:val="444444"/>
          <w:sz w:val="18"/>
        </w:rPr>
        <w:t>Speaker Notes: General Liability: example in PolicyCenter</w:t>
        <w:br/>
        <w:t>In an actual example, for each GLExposure (only one here) and the GeneralLiabilityLine, the rating engine generates two cost rows, one for premises and operations and the other for products and completed operations. Note that the rates are more complex than the simple example.</w:t>
      </w:r>
    </w:p>
    <w:p>
      <w:pPr>
        <w:pStyle w:val="Heading3"/>
      </w:pPr>
      <w:r>
        <w:rPr>
          <w:sz w:val="24"/>
        </w:rPr>
        <w:t>Slide 15/38: (Untitled)</w:t>
      </w:r>
    </w:p>
    <w:p>
      <w:r>
        <w:rPr>
          <w:i/>
          <w:color w:val="888888"/>
        </w:rPr>
        <w:t>[Image placeholder]</w:t>
      </w:r>
    </w:p>
    <w:p>
      <w:pPr>
        <w:spacing w:before="80" w:after="80"/>
        <w:shd w:fill="E8E8E8" w:val="clear"/>
      </w:pPr>
      <w:r>
        <w:rPr>
          <w:i/>
          <w:color w:val="444444"/>
          <w:sz w:val="18"/>
        </w:rPr>
        <w:t>Speaker Notes: Cost calculation with the pro rata factor included</w:t>
        <w:br/>
        <w:t>Most costs, but not all, are prorated. If all the costs on the policy are effective for the entire term, then the pro rata information is 100%.</w:t>
      </w:r>
    </w:p>
    <w:p>
      <w:pPr>
        <w:pStyle w:val="Heading3"/>
      </w:pPr>
      <w:r>
        <w:rPr>
          <w:sz w:val="24"/>
        </w:rPr>
        <w:t>Slide 16/38: (Untitled)</w:t>
      </w:r>
    </w:p>
    <w:p>
      <w:r>
        <w:rPr>
          <w:i/>
          <w:color w:val="888888"/>
        </w:rPr>
        <w:t>[Image placeholder]</w:t>
      </w:r>
    </w:p>
    <w:p>
      <w:pPr>
        <w:spacing w:before="80" w:after="80"/>
        <w:shd w:fill="E8E8E8" w:val="clear"/>
      </w:pPr>
      <w:r>
        <w:rPr>
          <w:i/>
          <w:color w:val="444444"/>
          <w:sz w:val="18"/>
        </w:rPr>
        <w:t>Speaker Notes: How are these values determined?</w:t>
        <w:br/>
        <w:t>By default, the basis' value is "1“ for material objects such as cars and homes. However, some exposure coverages are activated with amounts like payroll or sales (e.g. GL and workers' compensation), but not all. Some GL exposures use a rate scalable value.</w:t>
        <w:br/>
        <w:br/>
        <w:t>Note that some premium calculations will require a hybrid approach. For example, a basis of "square feet of building" is not scaled for the term so will require pro rata adjustment even though the Term Amount is calculated from a basis * adjusted rate.</w:t>
      </w:r>
    </w:p>
    <w:p>
      <w:pPr>
        <w:pStyle w:val="Heading3"/>
      </w:pPr>
      <w:r>
        <w:rPr>
          <w:sz w:val="24"/>
        </w:rPr>
        <w:t>Slide 17/38: (Untitled)</w:t>
      </w:r>
    </w:p>
    <w:p>
      <w:r>
        <w:rPr>
          <w:i/>
          <w:color w:val="888888"/>
        </w:rPr>
        <w:t>[Image placeholder]</w:t>
      </w:r>
    </w:p>
    <w:p>
      <w:pPr>
        <w:pStyle w:val="Heading3"/>
      </w:pPr>
      <w:r>
        <w:rPr>
          <w:sz w:val="24"/>
        </w:rPr>
        <w:t>Slide 18/38: (Untitled)</w:t>
      </w:r>
    </w:p>
    <w:p>
      <w:pPr>
        <w:pStyle w:val="Heading3"/>
      </w:pPr>
      <w:r>
        <w:rPr>
          <w:sz w:val="24"/>
        </w:rPr>
        <w:t>Slide 19/38: (Untitled)</w:t>
      </w:r>
    </w:p>
    <w:p>
      <w:r>
        <w:rPr>
          <w:i/>
          <w:color w:val="888888"/>
        </w:rPr>
        <w:t>[Image placeholder]</w:t>
      </w:r>
    </w:p>
    <w:p>
      <w:pPr>
        <w:spacing w:before="80" w:after="80"/>
        <w:shd w:fill="E8E8E8" w:val="clear"/>
      </w:pPr>
      <w:r>
        <w:rPr>
          <w:i/>
          <w:color w:val="444444"/>
          <w:sz w:val="18"/>
        </w:rPr>
        <w:t>Speaker Notes: Review: Cost terminology</w:t>
        <w:br/>
        <w:t>The term abasis scalable" refers to something that is priced according to a term amount of the value being insured.* The term amount is the premium or cost used for a full rate term.</w:t>
        <w:br/>
        <w:br/>
        <w:t>By default, the basis' value is "1“ for material objects such as cars and homes. However, some exposure coverages are activated by amounts like payroll or sales (e.g., GL or workers’ compensation policies).</w:t>
      </w:r>
    </w:p>
    <w:p>
      <w:pPr>
        <w:pStyle w:val="Heading3"/>
      </w:pPr>
      <w:r>
        <w:rPr>
          <w:sz w:val="24"/>
        </w:rPr>
        <w:t>Slide 20/38: (Untitled)</w:t>
      </w:r>
    </w:p>
    <w:p>
      <w:r>
        <w:rPr>
          <w:i/>
          <w:color w:val="888888"/>
        </w:rPr>
        <w:t>[Image placeholder]</w:t>
      </w:r>
    </w:p>
    <w:p>
      <w:pPr>
        <w:pStyle w:val="Heading3"/>
      </w:pPr>
      <w:r>
        <w:rPr>
          <w:sz w:val="24"/>
        </w:rPr>
        <w:t>Slide 21/38: (Untitled)</w:t>
      </w:r>
    </w:p>
    <w:p>
      <w:r>
        <w:rPr>
          <w:i/>
          <w:color w:val="888888"/>
        </w:rPr>
        <w:t>[Image placeholder]</w:t>
      </w:r>
    </w:p>
    <w:p>
      <w:pPr>
        <w:spacing w:before="80" w:after="80"/>
        <w:shd w:fill="E8E8E8" w:val="clear"/>
      </w:pPr>
      <w:r>
        <w:rPr>
          <w:i/>
          <w:color w:val="444444"/>
          <w:sz w:val="18"/>
        </w:rPr>
        <w:t>Speaker Notes: Where are costs calculated, where are they shown?</w:t>
        <w:br/>
        <w:t>You will see the screens in a later demo.</w:t>
      </w:r>
    </w:p>
    <w:p>
      <w:pPr>
        <w:pStyle w:val="Heading3"/>
      </w:pPr>
      <w:r>
        <w:rPr>
          <w:sz w:val="24"/>
        </w:rPr>
        <w:t>Slide 22/38: (Untitled)</w:t>
      </w:r>
    </w:p>
    <w:p>
      <w:r>
        <w:rPr>
          <w:i/>
          <w:color w:val="888888"/>
        </w:rPr>
        <w:t>[Image placeholder]</w:t>
      </w:r>
    </w:p>
    <w:p>
      <w:pPr>
        <w:pStyle w:val="Heading3"/>
      </w:pPr>
      <w:r>
        <w:rPr>
          <w:sz w:val="24"/>
        </w:rPr>
        <w:t>Slide 23/38: (Untitled)</w:t>
      </w:r>
    </w:p>
    <w:p>
      <w:r>
        <w:rPr>
          <w:i/>
          <w:color w:val="888888"/>
        </w:rPr>
        <w:t>[Image placeholder]</w:t>
      </w:r>
    </w:p>
    <w:p>
      <w:pPr>
        <w:pStyle w:val="Heading3"/>
      </w:pPr>
      <w:r>
        <w:rPr>
          <w:sz w:val="24"/>
        </w:rPr>
        <w:t>Slide 24/38: (Untitled)</w:t>
      </w:r>
    </w:p>
    <w:p>
      <w:r>
        <w:rPr>
          <w:i/>
          <w:color w:val="888888"/>
        </w:rPr>
        <w:t>[Image placeholder]</w:t>
      </w:r>
    </w:p>
    <w:p>
      <w:pPr>
        <w:spacing w:before="80" w:after="80"/>
        <w:shd w:fill="E8E8E8" w:val="clear"/>
      </w:pPr>
      <w:r>
        <w:rPr>
          <w:i/>
          <w:color w:val="444444"/>
          <w:sz w:val="18"/>
        </w:rPr>
        <w:t>Speaker Notes: Financial transactions: Example</w:t>
        <w:br/>
        <w:t>The simplest case of a financial transaction is when a new policy is submitted and there is no previous version. A submission is one way to initiate the transaction, but changes to the policy also invoke a financial transaction. The financial transaction is defined as the cost of the difference betueen costs for the current and previous policies as the initial cost (submission) for a portion of a policy (e.g., full-term cost of collision on a single policy).</w:t>
        <w:br/>
        <w:br/>
        <w:t>In this example, a policy change results in cost changes. The collision costs increase by $16 while the comprehensive costs do not change at all. The difference in subsequent costs is what makes it a financial transaction.</w:t>
      </w:r>
    </w:p>
    <w:p>
      <w:pPr>
        <w:pStyle w:val="Heading3"/>
      </w:pPr>
      <w:r>
        <w:rPr>
          <w:sz w:val="24"/>
        </w:rPr>
        <w:t>Slide 25/38: (Untitled)</w:t>
      </w:r>
    </w:p>
    <w:p>
      <w:r>
        <w:rPr>
          <w:i/>
          <w:color w:val="888888"/>
        </w:rPr>
        <w:t>[Image placeholder]</w:t>
      </w:r>
    </w:p>
    <w:p>
      <w:pPr>
        <w:spacing w:before="80" w:after="80"/>
        <w:shd w:fill="E8E8E8" w:val="clear"/>
      </w:pPr>
      <w:r>
        <w:rPr>
          <w:i/>
          <w:color w:val="444444"/>
          <w:sz w:val="18"/>
        </w:rPr>
        <w:t>Speaker Notes: Financial transaction in the user interface</w:t>
        <w:br/>
        <w:t>Guidewire provides the Financial Transactions screen as an internal tool used while developing your application (requires internaltool permission).</w:t>
      </w:r>
    </w:p>
    <w:p>
      <w:pPr>
        <w:pStyle w:val="Heading3"/>
      </w:pPr>
      <w:r>
        <w:rPr>
          <w:sz w:val="24"/>
        </w:rPr>
        <w:t>Slide 26/38: (Untitled)</w:t>
      </w:r>
    </w:p>
    <w:p>
      <w:r>
        <w:rPr>
          <w:i/>
          <w:color w:val="888888"/>
        </w:rPr>
        <w:t>[Image placeholder]</w:t>
      </w:r>
    </w:p>
    <w:p>
      <w:pPr>
        <w:spacing w:before="80" w:after="80"/>
        <w:shd w:fill="E8E8E8" w:val="clear"/>
      </w:pPr>
      <w:r>
        <w:rPr>
          <w:i/>
          <w:color w:val="444444"/>
          <w:sz w:val="18"/>
        </w:rPr>
        <w:t>Speaker Notes: Example: Personal Auto Coverage Change</w:t>
        <w:br/>
        <w:t>In this example, we are looking at an auto policy that is changed three months into the term. The cost splits and is prorated to price each coverage slice's effective dates.</w:t>
        <w:br/>
        <w:br/>
        <w:t>The base rate is modified based on factors such as increased limits, deductibles and anti-lock brakes. The modifications result in an adjusted rate. The adjusted rate is usually based on a length of time rather than the term amount, so both the term amount and a calculation to find the adjusted rate per unit cost are needed. The rate used to develop a cost may be an adjusted rate created with an adjusted base value.</w:t>
        <w:br/>
        <w:br/>
        <w:t>PolicyC enter will:</w:t>
        <w:br/>
        <w:br/>
        <w:t>1. Look up the base rate and save it to the cost</w:t>
        <w:br/>
        <w:t>2. Look up and calculate the adjusted rate and save it to the cost</w:t>
        <w:br/>
        <w:br/>
        <w:t>NOTE regarding effective periods: If a cost needs to be determined for an effective period of time that does not match the standard rating period, either the Basis or the Rate must be adjusted to fit the effective period.</w:t>
      </w:r>
    </w:p>
    <w:p>
      <w:pPr>
        <w:pStyle w:val="Heading3"/>
      </w:pPr>
      <w:r>
        <w:rPr>
          <w:sz w:val="24"/>
        </w:rPr>
        <w:t>Slide 27/38: (Untitled)</w:t>
      </w:r>
    </w:p>
    <w:p>
      <w:r>
        <w:rPr>
          <w:i/>
          <w:color w:val="888888"/>
        </w:rPr>
        <w:t>[Image placeholder]</w:t>
      </w:r>
    </w:p>
    <w:p>
      <w:pPr>
        <w:spacing w:before="80" w:after="80"/>
        <w:shd w:fill="E8E8E8" w:val="clear"/>
      </w:pPr>
      <w:r>
        <w:rPr>
          <w:i/>
          <w:color w:val="444444"/>
          <w:sz w:val="18"/>
        </w:rPr>
        <w:t>Speaker Notes: Downstream system example: Billing system</w:t>
        <w:br/>
        <w:t>A billing instruction is the set of directions from PolicyCenter to a billing system specifying transaction aggregations that must be acted upon. On receipt of the billing instruction, the billing system creates invoices or statements and processes them as needed to ensure the new premium is collected from the policy holder</w:t>
        <w:br/>
        <w:br/>
        <w:t>The billing instruction does not encompass the whole policy. It simply provides information that is necessary for the billing process, such as account, policy,  producer, and financial transactions.</w:t>
      </w:r>
    </w:p>
    <w:p>
      <w:pPr>
        <w:pStyle w:val="Heading3"/>
      </w:pPr>
      <w:r>
        <w:rPr>
          <w:sz w:val="24"/>
        </w:rPr>
        <w:t>Slide 28/38: (Untitled)</w:t>
      </w:r>
    </w:p>
    <w:p>
      <w:r>
        <w:rPr>
          <w:i/>
          <w:color w:val="888888"/>
        </w:rPr>
        <w:t>[Image placeholder]</w:t>
      </w:r>
    </w:p>
    <w:p>
      <w:pPr>
        <w:spacing w:before="80" w:after="80"/>
        <w:shd w:fill="E8E8E8" w:val="clear"/>
      </w:pPr>
      <w:r>
        <w:rPr>
          <w:i/>
          <w:color w:val="444444"/>
          <w:sz w:val="18"/>
        </w:rPr>
        <w:t>Speaker Notes: Transaction fields for earned premium</w:t>
        <w:br/>
        <w:t>Reminder: The earned premium is the portion of the premium that applies to the expired part of the policy period. Insurance premiums are payable in advance, but the insurance company does not fully earn them until the policy period expires.</w:t>
        <w:br/>
        <w:br/>
        <w:t>The written premium is the premium charged by an insurance company for the period of time and coverage provided by an insurance contract. The written premium depicts the amount of money placed on the books for the entire policy.</w:t>
        <w:br/>
        <w:br/>
        <w:t>The unearned premium is the amount of premium remaining after deducting the earned premium from the written premium. Earned premium accrual refers to the method used for calculating an earned premium, which can vary across LOBs.</w:t>
      </w:r>
    </w:p>
    <w:p>
      <w:pPr>
        <w:pStyle w:val="Heading3"/>
      </w:pPr>
      <w:r>
        <w:rPr>
          <w:sz w:val="24"/>
        </w:rPr>
        <w:t>Slide 29/38: (Untitled)</w:t>
      </w:r>
    </w:p>
    <w:p>
      <w:r>
        <w:rPr>
          <w:i/>
          <w:color w:val="888888"/>
        </w:rPr>
        <w:t>[Image placeholder]</w:t>
      </w:r>
    </w:p>
    <w:p>
      <w:pPr>
        <w:spacing w:before="80" w:after="80"/>
        <w:shd w:fill="E8E8E8" w:val="clear"/>
      </w:pPr>
      <w:r>
        <w:rPr>
          <w:i/>
          <w:color w:val="444444"/>
          <w:sz w:val="18"/>
        </w:rPr>
        <w:t>Speaker Notes: Demonstration</w:t>
        <w:br/>
        <w:t>FIRST: Need to show 1) base app Quote step with Policy</w:t>
        <w:br/>
        <w:t>Premium only 2) the Policy Premium tab (existing previous periods), 3) Cost Change Detail tab</w:t>
        <w:br/>
        <w:br/>
        <w:t>SECOND: Access to the Financial Transactions via Tools,  display All Financial Transactions, and show Costs sorted by job, show transactions sorted by Period, then transactions sorted by Cost or CostKey (configuration tip: CostKey description — this is only for configuration developers). The CostKey is a property on the Cost delegate. These are covered in more detail in the configuration training.</w:t>
      </w:r>
    </w:p>
    <w:p>
      <w:pPr>
        <w:pStyle w:val="Heading3"/>
      </w:pPr>
      <w:r>
        <w:rPr>
          <w:sz w:val="24"/>
        </w:rPr>
        <w:t>Slide 30/38: (Untitled)</w:t>
      </w:r>
    </w:p>
    <w:p>
      <w:pPr>
        <w:spacing w:before="80" w:after="80"/>
        <w:shd w:fill="E8E8E8" w:val="clear"/>
      </w:pPr>
      <w:r>
        <w:rPr>
          <w:i/>
          <w:color w:val="444444"/>
          <w:sz w:val="18"/>
        </w:rPr>
        <w:t>Speaker Notes: Demonstration</w:t>
        <w:br/>
        <w:t>FIRST: Need to show 1) base app Quote step with Policy</w:t>
        <w:br/>
        <w:t>Premium only 2) the Policy Premium tab (existing previous periods), 3) Cost Change Detail tab</w:t>
        <w:br/>
        <w:br/>
        <w:t>SECOND: Access to the Financial Transactions via Tools,  display All Financial Transactions, and show Costs sorted by job, show transactions sorted by Period, then transactions sorted by Cost or CostKey (configuration tip: CostKey description — this is only for configuration developers). The CostKey is a property on the Cost delegate. These are covered in more detail in the configuration training.</w:t>
      </w:r>
    </w:p>
    <w:p>
      <w:pPr>
        <w:pStyle w:val="Heading3"/>
      </w:pPr>
      <w:r>
        <w:rPr>
          <w:sz w:val="24"/>
        </w:rPr>
        <w:t>Slide 31/38: (Untitled)</w:t>
      </w:r>
    </w:p>
    <w:p>
      <w:r>
        <w:rPr>
          <w:i/>
          <w:color w:val="888888"/>
        </w:rPr>
        <w:t>[Image placeholder]</w:t>
      </w:r>
    </w:p>
    <w:p>
      <w:pPr>
        <w:pStyle w:val="Heading3"/>
      </w:pPr>
      <w:r>
        <w:rPr>
          <w:sz w:val="24"/>
        </w:rPr>
        <w:t>Slide 32/38: (Untitled)</w:t>
      </w:r>
    </w:p>
    <w:p>
      <w:r>
        <w:rPr>
          <w:i/>
          <w:color w:val="888888"/>
        </w:rPr>
        <w:t>[Image placeholder]</w:t>
      </w:r>
    </w:p>
    <w:p>
      <w:pPr>
        <w:pStyle w:val="Heading3"/>
      </w:pPr>
      <w:r>
        <w:rPr>
          <w:sz w:val="24"/>
        </w:rPr>
        <w:t>Slide 33/38: (Untitled)</w:t>
      </w:r>
    </w:p>
    <w:p>
      <w:r>
        <w:rPr>
          <w:i/>
          <w:color w:val="888888"/>
        </w:rPr>
        <w:t>[Image placeholder]</w:t>
      </w:r>
    </w:p>
    <w:p>
      <w:pPr>
        <w:pStyle w:val="Heading3"/>
      </w:pPr>
      <w:r>
        <w:rPr>
          <w:sz w:val="24"/>
        </w:rPr>
        <w:t>Slide 34/38: (Untitled)</w:t>
      </w:r>
    </w:p>
    <w:p>
      <w:r>
        <w:rPr>
          <w:i/>
          <w:color w:val="888888"/>
        </w:rPr>
        <w:t>[Image placeholder]</w:t>
      </w:r>
    </w:p>
    <w:p>
      <w:pPr>
        <w:pStyle w:val="Heading3"/>
      </w:pPr>
      <w:r>
        <w:rPr>
          <w:sz w:val="24"/>
        </w:rPr>
        <w:t>Slide 35/38: (Untitled)</w:t>
      </w:r>
    </w:p>
    <w:p>
      <w:r>
        <w:rPr>
          <w:i/>
          <w:color w:val="888888"/>
        </w:rPr>
        <w:t>[Image placeholder]</w:t>
      </w:r>
    </w:p>
    <w:p>
      <w:pPr>
        <w:pStyle w:val="Heading3"/>
      </w:pPr>
      <w:r>
        <w:rPr>
          <w:sz w:val="24"/>
        </w:rPr>
        <w:t>Slide 36/38: (Untitled)</w:t>
      </w:r>
    </w:p>
    <w:p>
      <w:r>
        <w:rPr>
          <w:i/>
          <w:color w:val="888888"/>
        </w:rPr>
        <w:t>[Image placeholder]</w:t>
      </w:r>
    </w:p>
    <w:p>
      <w:pPr>
        <w:pStyle w:val="Heading3"/>
      </w:pPr>
      <w:r>
        <w:rPr>
          <w:sz w:val="24"/>
        </w:rPr>
        <w:t>Slide 37/38: (Untitled)</w:t>
      </w:r>
    </w:p>
    <w:p>
      <w:r>
        <w:rPr>
          <w:i/>
          <w:color w:val="888888"/>
        </w:rPr>
        <w:t>[Image placeholder]</w:t>
      </w:r>
    </w:p>
    <w:p>
      <w:pPr>
        <w:pStyle w:val="Heading3"/>
      </w:pPr>
      <w:r>
        <w:rPr>
          <w:sz w:val="24"/>
        </w:rPr>
        <w:t>Slide 38/38: (Untitled)</w:t>
      </w:r>
    </w:p>
    <w:p>
      <w:r>
        <w:rPr>
          <w:i/>
          <w:color w:val="888888"/>
        </w:rPr>
        <w:t>[Image placeholder]</w:t>
      </w:r>
    </w:p>
    <w:p/>
    <w:p>
      <w:pPr>
        <w:spacing w:before="240"/>
        <w:jc w:val="center"/>
      </w:pPr>
      <w:r>
        <w:rPr>
          <w:i/>
          <w:color w:val="999999"/>
          <w:sz w:val="16"/>
        </w:rPr>
        <w:t>--- End of Lesson 2: Costs and Financial Transactions | 38 slides | 11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