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13: Rating Introduction</w:t>
      </w:r>
    </w:p>
    <w:p>
      <w:pPr>
        <w:pStyle w:val="Heading2"/>
      </w:pPr>
      <w:r>
        <w:rPr>
          <w:color w:val="333333"/>
          <w:sz w:val="28"/>
        </w:rPr>
        <w:t>Lesson 3: Rate Books and Rate Tables</w:t>
      </w:r>
    </w:p>
    <w:p>
      <w:pPr>
        <w:spacing w:after="40"/>
      </w:pPr>
      <w:r>
        <w:rPr>
          <w:i/>
          <w:color w:val="999999"/>
          <w:sz w:val="16"/>
        </w:rPr>
        <w:t>Source: Rate Books and Rate Tables.pptx</w:t>
      </w:r>
    </w:p>
    <w:p>
      <w:pPr>
        <w:pStyle w:val="Heading3"/>
      </w:pPr>
      <w:r>
        <w:t>Video References</w:t>
      </w:r>
    </w:p>
    <w:p>
      <w:pPr>
        <w:pStyle w:val="ListNumber"/>
      </w:pPr>
      <w:r>
        <w:rPr>
          <w:color w:val="0066CC"/>
          <w:sz w:val="20"/>
        </w:rPr>
        <w:t>[Video 1: Ra_Intro_01_01.mp4]</w:t>
      </w:r>
    </w:p>
    <w:p>
      <w:pPr>
        <w:pStyle w:val="ListNumber"/>
      </w:pPr>
      <w:r>
        <w:rPr>
          <w:color w:val="0066CC"/>
          <w:sz w:val="20"/>
        </w:rPr>
        <w:t>[Video 2: Ra_Intro_01_02.mp4]</w:t>
      </w:r>
    </w:p>
    <w:p>
      <w:pPr>
        <w:pStyle w:val="ListNumber"/>
      </w:pPr>
      <w:r>
        <w:rPr>
          <w:color w:val="0066CC"/>
          <w:sz w:val="20"/>
        </w:rPr>
        <w:t>[Video 3: Ra_Intro_01_03.mp4]</w:t>
      </w:r>
    </w:p>
    <w:p>
      <w:pPr>
        <w:pStyle w:val="ListNumber"/>
      </w:pPr>
      <w:r>
        <w:rPr>
          <w:color w:val="0066CC"/>
          <w:sz w:val="20"/>
        </w:rPr>
        <w:t>[Video 4: Ra_Intro_02_02.mp4]</w:t>
      </w:r>
    </w:p>
    <w:p>
      <w:pPr>
        <w:pStyle w:val="ListNumber"/>
      </w:pPr>
      <w:r>
        <w:rPr>
          <w:color w:val="0066CC"/>
          <w:sz w:val="20"/>
        </w:rPr>
        <w:t>[Video 5: Ra_Intro_03_01.mp4]</w:t>
      </w:r>
    </w:p>
    <w:p>
      <w:pPr>
        <w:pStyle w:val="ListNumber"/>
      </w:pPr>
      <w:r>
        <w:rPr>
          <w:color w:val="0066CC"/>
          <w:sz w:val="20"/>
        </w:rPr>
        <w:t>[Video 6: Ra_Intro_04_01.mp4]</w:t>
      </w:r>
    </w:p>
    <w:p>
      <w:pPr>
        <w:pStyle w:val="ListNumber"/>
      </w:pPr>
      <w:r>
        <w:rPr>
          <w:color w:val="0066CC"/>
          <w:sz w:val="20"/>
        </w:rPr>
        <w:t>[Video 7: Ra_Intro_05_01.mp4]</w:t>
      </w:r>
    </w:p>
    <w:p>
      <w:pPr>
        <w:pStyle w:val="ListNumber"/>
      </w:pPr>
      <w:r>
        <w:rPr>
          <w:color w:val="0066CC"/>
          <w:sz w:val="20"/>
        </w:rPr>
        <w:t>[Video 8: Ra_Intro_05_02.mp4]</w:t>
      </w:r>
    </w:p>
    <w:p>
      <w:pPr>
        <w:pStyle w:val="ListNumber"/>
      </w:pPr>
      <w:r>
        <w:rPr>
          <w:color w:val="0066CC"/>
          <w:sz w:val="20"/>
        </w:rPr>
        <w:t>[Video 9: Ra_Intro_06_01.mp4]</w:t>
      </w:r>
    </w:p>
    <w:p>
      <w:pPr>
        <w:pStyle w:val="ListNumber"/>
      </w:pPr>
      <w:r>
        <w:rPr>
          <w:color w:val="0066CC"/>
          <w:sz w:val="20"/>
        </w:rPr>
        <w:t>[Video 10: Ra_Intro_07_01.mp4]</w:t>
      </w:r>
    </w:p>
    <w:p>
      <w:pPr>
        <w:pStyle w:val="ListNumber"/>
      </w:pPr>
      <w:r>
        <w:rPr>
          <w:color w:val="0066CC"/>
          <w:sz w:val="20"/>
        </w:rPr>
        <w:t>[Video 11: Ra_intro_02_01 .mp4]</w:t>
      </w:r>
    </w:p>
    <w:p/>
    <w:p>
      <w:pPr>
        <w:pStyle w:val="Heading2"/>
      </w:pPr>
      <w:r>
        <w:t>Slide Content</w:t>
      </w:r>
    </w:p>
    <w:p>
      <w:pPr>
        <w:pStyle w:val="Heading3"/>
      </w:pPr>
      <w:r>
        <w:rPr>
          <w:sz w:val="24"/>
        </w:rPr>
        <w:t>Slide 1/38: (Untitled)</w:t>
      </w:r>
    </w:p>
    <w:p>
      <w:r>
        <w:rPr>
          <w:i/>
          <w:color w:val="888888"/>
        </w:rPr>
        <w:t>[Image placeholder]</w:t>
      </w:r>
    </w:p>
    <w:p>
      <w:pPr>
        <w:pStyle w:val="Heading3"/>
      </w:pPr>
      <w:r>
        <w:rPr>
          <w:sz w:val="24"/>
        </w:rPr>
        <w:t>Slide 2/38: (Untitled)</w:t>
      </w:r>
    </w:p>
    <w:p>
      <w:r>
        <w:rPr>
          <w:i/>
          <w:color w:val="888888"/>
        </w:rPr>
        <w:t>[Image placeholder]</w:t>
      </w:r>
    </w:p>
    <w:p>
      <w:pPr>
        <w:pStyle w:val="Heading3"/>
      </w:pPr>
      <w:r>
        <w:rPr>
          <w:sz w:val="24"/>
        </w:rPr>
        <w:t>Slide 3/38: (Untitled)</w:t>
      </w:r>
    </w:p>
    <w:p>
      <w:r>
        <w:rPr>
          <w:i/>
          <w:color w:val="888888"/>
        </w:rPr>
        <w:t>[Image placeholder]</w:t>
      </w:r>
    </w:p>
    <w:p>
      <w:pPr>
        <w:pStyle w:val="Heading3"/>
      </w:pPr>
      <w:r>
        <w:rPr>
          <w:sz w:val="24"/>
        </w:rPr>
        <w:t>Slide 4/38: (Untitled)</w:t>
      </w:r>
    </w:p>
    <w:p>
      <w:r>
        <w:rPr>
          <w:i/>
          <w:color w:val="888888"/>
        </w:rPr>
        <w:t>[Image placeholder]</w:t>
      </w:r>
    </w:p>
    <w:p>
      <w:pPr>
        <w:pStyle w:val="Heading3"/>
      </w:pPr>
      <w:r>
        <w:rPr>
          <w:sz w:val="24"/>
        </w:rPr>
        <w:t>Slide 5/38: (Untitled)</w:t>
      </w:r>
    </w:p>
    <w:p>
      <w:r>
        <w:rPr>
          <w:i/>
          <w:color w:val="888888"/>
        </w:rPr>
        <w:t>[Image placeholder]</w:t>
      </w:r>
    </w:p>
    <w:p>
      <w:pPr>
        <w:pStyle w:val="Heading3"/>
      </w:pPr>
      <w:r>
        <w:rPr>
          <w:sz w:val="24"/>
        </w:rPr>
        <w:t>Slide 6/38: (Untitled)</w:t>
      </w:r>
    </w:p>
    <w:p>
      <w:r>
        <w:rPr>
          <w:i/>
          <w:color w:val="888888"/>
        </w:rPr>
        <w:t>[Image placeholder]</w:t>
      </w:r>
    </w:p>
    <w:p>
      <w:pPr>
        <w:spacing w:before="80" w:after="80"/>
        <w:shd w:fill="E8E8E8" w:val="clear"/>
      </w:pPr>
      <w:r>
        <w:rPr>
          <w:i/>
          <w:color w:val="444444"/>
          <w:sz w:val="18"/>
        </w:rPr>
        <w:t>Speaker Notes: Rate book: Implementation story</w:t>
        <w:br/>
        <w:t>The rate book 'locks' in the rates and routines that insurers have to file with each state.</w:t>
      </w:r>
    </w:p>
    <w:p>
      <w:pPr>
        <w:pStyle w:val="Heading3"/>
      </w:pPr>
      <w:r>
        <w:rPr>
          <w:sz w:val="24"/>
        </w:rPr>
        <w:t>Slide 7/38: (Untitled)</w:t>
      </w:r>
    </w:p>
    <w:p>
      <w:r>
        <w:rPr>
          <w:i/>
          <w:color w:val="888888"/>
        </w:rPr>
        <w:t>[Image placeholder]</w:t>
      </w:r>
    </w:p>
    <w:p>
      <w:pPr>
        <w:pStyle w:val="Heading3"/>
      </w:pPr>
      <w:r>
        <w:rPr>
          <w:sz w:val="24"/>
        </w:rPr>
        <w:t>Slide 8/38: (Untitled)</w:t>
      </w:r>
    </w:p>
    <w:p>
      <w:r>
        <w:rPr>
          <w:i/>
          <w:color w:val="888888"/>
        </w:rPr>
        <w:t>[Image placeholder]</w:t>
      </w:r>
    </w:p>
    <w:p>
      <w:pPr>
        <w:pStyle w:val="Heading3"/>
      </w:pPr>
      <w:r>
        <w:rPr>
          <w:sz w:val="24"/>
        </w:rPr>
        <w:t>Slide 9/38: (Untitled)</w:t>
      </w:r>
    </w:p>
    <w:p>
      <w:r>
        <w:rPr>
          <w:i/>
          <w:color w:val="888888"/>
        </w:rPr>
        <w:t>[Image placeholder]</w:t>
      </w:r>
    </w:p>
    <w:p>
      <w:pPr>
        <w:spacing w:before="80" w:after="80"/>
        <w:shd w:fill="E8E8E8" w:val="clear"/>
      </w:pPr>
      <w:r>
        <w:rPr>
          <w:i/>
          <w:color w:val="444444"/>
          <w:sz w:val="18"/>
        </w:rPr>
        <w:t>Speaker Notes: Base rate table example (Personal Auto)</w:t>
        <w:br/>
        <w:t>The example here describes a series of base rates for different coverages within different jurisdictions. The base rates are all in a single rate table.</w:t>
      </w:r>
    </w:p>
    <w:p>
      <w:pPr>
        <w:pStyle w:val="Heading3"/>
      </w:pPr>
      <w:r>
        <w:rPr>
          <w:sz w:val="24"/>
        </w:rPr>
        <w:t>Slide 10/38: (Untitled)</w:t>
      </w:r>
    </w:p>
    <w:p>
      <w:r>
        <w:rPr>
          <w:i/>
          <w:color w:val="888888"/>
        </w:rPr>
        <w:t>[Image placeholder]</w:t>
      </w:r>
    </w:p>
    <w:p>
      <w:pPr>
        <w:pStyle w:val="Heading3"/>
      </w:pPr>
      <w:r>
        <w:rPr>
          <w:sz w:val="24"/>
        </w:rPr>
        <w:t>Slide 11/38: (Untitled)</w:t>
      </w:r>
    </w:p>
    <w:p>
      <w:r>
        <w:rPr>
          <w:i/>
          <w:color w:val="888888"/>
        </w:rPr>
        <w:t>[Image placeholder]</w:t>
      </w:r>
    </w:p>
    <w:p>
      <w:pPr>
        <w:pStyle w:val="Heading3"/>
      </w:pPr>
      <w:r>
        <w:rPr>
          <w:sz w:val="24"/>
        </w:rPr>
        <w:t>Slide 12/38: (Untitled)</w:t>
      </w:r>
    </w:p>
    <w:p>
      <w:r>
        <w:rPr>
          <w:i/>
          <w:color w:val="888888"/>
        </w:rPr>
        <w:t>[Image placeholder]</w:t>
      </w:r>
    </w:p>
    <w:p>
      <w:pPr>
        <w:pStyle w:val="Heading3"/>
      </w:pPr>
      <w:r>
        <w:rPr>
          <w:sz w:val="24"/>
        </w:rPr>
        <w:t>Slide 13/38: (Untitled)</w:t>
      </w:r>
    </w:p>
    <w:p>
      <w:r>
        <w:rPr>
          <w:i/>
          <w:color w:val="888888"/>
        </w:rPr>
        <w:t>[Image placeholder]</w:t>
      </w:r>
    </w:p>
    <w:p>
      <w:pPr>
        <w:pStyle w:val="Heading3"/>
      </w:pPr>
      <w:r>
        <w:rPr>
          <w:sz w:val="24"/>
        </w:rPr>
        <w:t>Slide 14/38: (Untitled)</w:t>
      </w:r>
    </w:p>
    <w:p>
      <w:r>
        <w:rPr>
          <w:i/>
          <w:color w:val="888888"/>
        </w:rPr>
        <w:t>[Image placeholder]</w:t>
      </w:r>
    </w:p>
    <w:p>
      <w:pPr>
        <w:pStyle w:val="Heading3"/>
      </w:pPr>
      <w:r>
        <w:rPr>
          <w:sz w:val="24"/>
        </w:rPr>
        <w:t>Slide 15/38: (Untitled)</w:t>
      </w:r>
    </w:p>
    <w:p>
      <w:r>
        <w:rPr>
          <w:i/>
          <w:color w:val="888888"/>
        </w:rPr>
        <w:t>[Image placeholder]</w:t>
      </w:r>
    </w:p>
    <w:p>
      <w:pPr>
        <w:spacing w:before="80" w:after="80"/>
        <w:shd w:fill="E8E8E8" w:val="clear"/>
      </w:pPr>
      <w:r>
        <w:rPr>
          <w:i/>
          <w:color w:val="444444"/>
          <w:sz w:val="18"/>
        </w:rPr>
        <w:t>Speaker Notes: Rate table definition</w:t>
        <w:br/>
        <w:t>If you have a rate table, you need to define the table contents, which is accomplished by the rate table definition option. Using the same DriverAgeFactor table, this example shows the rate table definition in PolicyCenter.</w:t>
        <w:br/>
        <w:br/>
        <w:t>Parameter sets determines the information available for setting the default argument sources in the rate table definition.</w:t>
      </w:r>
    </w:p>
    <w:p>
      <w:pPr>
        <w:pStyle w:val="Heading3"/>
      </w:pPr>
      <w:r>
        <w:rPr>
          <w:sz w:val="24"/>
        </w:rPr>
        <w:t>Slide 16/38: (Untitled)</w:t>
      </w:r>
    </w:p>
    <w:p>
      <w:r>
        <w:rPr>
          <w:i/>
          <w:color w:val="888888"/>
        </w:rPr>
        <w:t>[Image placeholder]</w:t>
      </w:r>
    </w:p>
    <w:p>
      <w:pPr>
        <w:spacing w:before="80" w:after="80"/>
        <w:shd w:fill="E8E8E8" w:val="clear"/>
      </w:pPr>
      <w:r>
        <w:rPr>
          <w:i/>
          <w:color w:val="444444"/>
          <w:sz w:val="18"/>
        </w:rPr>
        <w:t>Speaker Notes: Rate table definition: Personal Auto example</w:t>
        <w:br/>
        <w:t>Example continues on the next page.</w:t>
      </w:r>
    </w:p>
    <w:p>
      <w:pPr>
        <w:pStyle w:val="Heading3"/>
      </w:pPr>
      <w:r>
        <w:rPr>
          <w:sz w:val="24"/>
        </w:rPr>
        <w:t>Slide 17/38: (Untitled)</w:t>
      </w:r>
    </w:p>
    <w:p>
      <w:r>
        <w:rPr>
          <w:i/>
          <w:color w:val="888888"/>
        </w:rPr>
        <w:t>[Image placeholder]</w:t>
      </w:r>
    </w:p>
    <w:p>
      <w:pPr>
        <w:pStyle w:val="Heading3"/>
      </w:pPr>
      <w:r>
        <w:rPr>
          <w:sz w:val="24"/>
        </w:rPr>
        <w:t>Slide 18/38: (Untitled)</w:t>
      </w:r>
    </w:p>
    <w:p>
      <w:r>
        <w:rPr>
          <w:i/>
          <w:color w:val="888888"/>
        </w:rPr>
        <w:t>[Image placeholder]</w:t>
      </w:r>
    </w:p>
    <w:p>
      <w:pPr>
        <w:pStyle w:val="Heading3"/>
      </w:pPr>
      <w:r>
        <w:rPr>
          <w:sz w:val="24"/>
        </w:rPr>
        <w:t>Slide 19/38: (Untitled)</w:t>
      </w:r>
    </w:p>
    <w:p>
      <w:r>
        <w:rPr>
          <w:i/>
          <w:color w:val="888888"/>
        </w:rPr>
        <w:t>[Image placeholder]</w:t>
      </w:r>
    </w:p>
    <w:p>
      <w:pPr>
        <w:spacing w:before="80" w:after="80"/>
        <w:shd w:fill="E8E8E8" w:val="clear"/>
      </w:pPr>
      <w:r>
        <w:rPr>
          <w:i/>
          <w:color w:val="444444"/>
          <w:sz w:val="18"/>
        </w:rPr>
        <w:t>Speaker Notes: Rate book lifecycle and move to production</w:t>
        <w:br/>
        <w:t>This diagram shows the rate book lifecycle in a single environment Many insurers have multiple environments  (development, one or more test/staging environments and production) to better control production changes. However,  some insurers may not have separate test and stage environments.</w:t>
        <w:br/>
        <w:br/>
        <w:t xml:space="preserve">Users can add a new rate book or version to an active rate book which creates the rate book in Draft status. After users have finished making changes, they can promote the rate book status to Stage. Testing may occur in the same development environment; however, insurers often have a separate staging environment for testing. To move the rate book to a testing environment, use the rate book export and import actions in the Rate Book Editor. Exporting a rate book includes all included rate tables and definitions associated with that rate book.  </w:t>
        <w:br/>
        <w:br/>
        <w:t>After testing is completed, users can update the rate book status to Approved. An approved rate book is ready to move to productiom Then users can activate the rate book for production use. Upon activation,  the rate book status is set to Active and the rate book is available for production policy rating. NOTE: Active rate books cannot be modified.</w:t>
      </w:r>
    </w:p>
    <w:p>
      <w:pPr>
        <w:pStyle w:val="Heading3"/>
      </w:pPr>
      <w:r>
        <w:rPr>
          <w:sz w:val="24"/>
        </w:rPr>
        <w:t>Slide 20/38: (Untitled)</w:t>
      </w:r>
    </w:p>
    <w:p>
      <w:r>
        <w:rPr>
          <w:i/>
          <w:color w:val="888888"/>
        </w:rPr>
        <w:t>[Image placeholder]</w:t>
      </w:r>
    </w:p>
    <w:p>
      <w:pPr>
        <w:pStyle w:val="Heading3"/>
      </w:pPr>
      <w:r>
        <w:rPr>
          <w:sz w:val="24"/>
        </w:rPr>
        <w:t>Slide 21/38: (Untitled)</w:t>
      </w:r>
    </w:p>
    <w:p>
      <w:r>
        <w:rPr>
          <w:i/>
          <w:color w:val="888888"/>
        </w:rPr>
        <w:t>[Image placeholder]</w:t>
      </w:r>
    </w:p>
    <w:p>
      <w:pPr>
        <w:spacing w:before="80" w:after="80"/>
        <w:shd w:fill="E8E8E8" w:val="clear"/>
      </w:pPr>
      <w:r>
        <w:rPr>
          <w:i/>
          <w:color w:val="444444"/>
          <w:sz w:val="18"/>
        </w:rPr>
        <w:t>Speaker Notes: Rate tables, rate books, and rate routines</w:t>
        <w:br/>
        <w:t>During rating, the rating engine selects the appropriate rate book edition and rate table version. The rating engine gets costs by executing the rate routines in the rate book.</w:t>
      </w:r>
    </w:p>
    <w:p>
      <w:pPr>
        <w:pStyle w:val="Heading3"/>
      </w:pPr>
      <w:r>
        <w:rPr>
          <w:sz w:val="24"/>
        </w:rPr>
        <w:t>Slide 22/38: (Untitled)</w:t>
      </w:r>
    </w:p>
    <w:p>
      <w:r>
        <w:rPr>
          <w:i/>
          <w:color w:val="888888"/>
        </w:rPr>
        <w:t>[Image placeholder]</w:t>
      </w:r>
    </w:p>
    <w:p>
      <w:pPr>
        <w:spacing w:before="80" w:after="80"/>
        <w:shd w:fill="E8E8E8" w:val="clear"/>
      </w:pPr>
      <w:r>
        <w:rPr>
          <w:i/>
          <w:color w:val="444444"/>
          <w:sz w:val="18"/>
        </w:rPr>
        <w:t>Speaker Notes: Rate table versions</w:t>
        <w:br/>
        <w:t>When you edit rate table content in a rate book, PolicyCenter creates a new version of that rate table. The rate book includes the new rate table.</w:t>
      </w:r>
    </w:p>
    <w:p>
      <w:pPr>
        <w:pStyle w:val="Heading3"/>
      </w:pPr>
      <w:r>
        <w:rPr>
          <w:sz w:val="24"/>
        </w:rPr>
        <w:t>Slide 23/38: (Untitled)</w:t>
      </w:r>
    </w:p>
    <w:p>
      <w:r>
        <w:rPr>
          <w:i/>
          <w:color w:val="888888"/>
        </w:rPr>
        <w:t>[Image placeholder]</w:t>
      </w:r>
    </w:p>
    <w:p>
      <w:pPr>
        <w:spacing w:before="80" w:after="80"/>
        <w:shd w:fill="E8E8E8" w:val="clear"/>
      </w:pPr>
      <w:r>
        <w:rPr>
          <w:i/>
          <w:color w:val="444444"/>
          <w:sz w:val="18"/>
        </w:rPr>
        <w:t>Speaker Notes: Rate book editions</w:t>
        <w:br/>
        <w:t>Each rate book edition groups a specific set of rate table versions. You can manage rate book editions in PolicyCenter.</w:t>
      </w:r>
    </w:p>
    <w:p>
      <w:pPr>
        <w:pStyle w:val="Heading3"/>
      </w:pPr>
      <w:r>
        <w:rPr>
          <w:sz w:val="24"/>
        </w:rPr>
        <w:t>Slide 24/38: (Untitled)</w:t>
      </w:r>
    </w:p>
    <w:p>
      <w:r>
        <w:rPr>
          <w:i/>
          <w:color w:val="888888"/>
        </w:rPr>
        <w:t>[Image placeholder]</w:t>
      </w:r>
    </w:p>
    <w:p>
      <w:pPr>
        <w:spacing w:before="80" w:after="80"/>
        <w:shd w:fill="E8E8E8" w:val="clear"/>
      </w:pPr>
      <w:r>
        <w:rPr>
          <w:i/>
          <w:color w:val="444444"/>
          <w:sz w:val="18"/>
        </w:rPr>
        <w:t>Speaker Notes: Rate books and rate book editions</w:t>
        <w:br/>
        <w:t>Activated rate books cannot be updated to ensure integrity and auditability. When a rate table needs to be changed in an active rate book, a new edition of the rate book must be created. In this example, we are going to see what happens when a rate book is changed.</w:t>
        <w:br/>
        <w:br/>
        <w:t>We start off with the •Edition 1“ rate book that has two rate tables A and B. &lt;Advance the animation&gt;</w:t>
        <w:br/>
        <w:t>Next, we create a new edition of our rate book, •Edition 2". Rate table A is unchanged and is included in the "Edition 2" rate book. However, we made a change to rate table B which is now rate table This version of the rate table is included in the new "Edition 2" rate book.</w:t>
        <w:br/>
        <w:br/>
        <w:t>When a new edition ("Edition 2") is created, the user can update the affected rate tables. Updated rate tables are automatically saved in the new edition's rate book. To avoid a proliferation of rate table versions, unchanged rate tables in the new edition  ("Edition 2") continue to reference the existing rate table.</w:t>
      </w:r>
    </w:p>
    <w:p>
      <w:pPr>
        <w:pStyle w:val="Heading3"/>
      </w:pPr>
      <w:r>
        <w:rPr>
          <w:sz w:val="24"/>
        </w:rPr>
        <w:t>Slide 25/38: (Untitled)</w:t>
      </w:r>
    </w:p>
    <w:p>
      <w:r>
        <w:rPr>
          <w:i/>
          <w:color w:val="888888"/>
        </w:rPr>
        <w:t>[Image placeholder]</w:t>
      </w:r>
    </w:p>
    <w:p>
      <w:pPr>
        <w:pStyle w:val="Heading3"/>
      </w:pPr>
      <w:r>
        <w:rPr>
          <w:sz w:val="24"/>
        </w:rPr>
        <w:t>Slide 26/38: (Untitled)</w:t>
      </w:r>
    </w:p>
    <w:p>
      <w:r>
        <w:rPr>
          <w:i/>
          <w:color w:val="888888"/>
        </w:rPr>
        <w:t>[Image placeholder]</w:t>
      </w:r>
    </w:p>
    <w:p>
      <w:pPr>
        <w:spacing w:before="80" w:after="80"/>
        <w:shd w:fill="E8E8E8" w:val="clear"/>
      </w:pPr>
      <w:r>
        <w:rPr>
          <w:i/>
          <w:color w:val="444444"/>
          <w:sz w:val="18"/>
        </w:rPr>
        <w:t>Speaker Notes: Rate book matching</w:t>
        <w:br/>
        <w:t>Most appropriate ratebook only: When selecting the most appropriate rate book, if an exact match is not found, relax the optional attributes by looking for 'null' occurrences in the optional attributes.</w:t>
        <w:br/>
        <w:br/>
        <w:t>Cascaded lookup: Use cascaded lookup to find matching rate tables and rate routines in a hierarchical list of rate books.</w:t>
      </w:r>
    </w:p>
    <w:p>
      <w:pPr>
        <w:pStyle w:val="Heading3"/>
      </w:pPr>
      <w:r>
        <w:rPr>
          <w:sz w:val="24"/>
        </w:rPr>
        <w:t>Slide 27/38: (Untitled)</w:t>
      </w:r>
    </w:p>
    <w:p>
      <w:r>
        <w:rPr>
          <w:i/>
          <w:color w:val="888888"/>
        </w:rPr>
        <w:t>[Image placeholder]</w:t>
      </w:r>
    </w:p>
    <w:p>
      <w:pPr>
        <w:spacing w:before="80" w:after="80"/>
        <w:shd w:fill="E8E8E8" w:val="clear"/>
      </w:pPr>
      <w:r>
        <w:rPr>
          <w:i/>
          <w:color w:val="444444"/>
          <w:sz w:val="18"/>
        </w:rPr>
        <w:t>Speaker Notes: Required attributes for rate book candidates</w:t>
        <w:br/>
        <w:t>Whether or not cascaded lookup is enabled, the required attributes for rate book candidates is the same. Rate as of Date gives the ability to control which rate book is used when multiple books are in effect.</w:t>
      </w:r>
    </w:p>
    <w:p>
      <w:pPr>
        <w:pStyle w:val="Heading3"/>
      </w:pPr>
      <w:r>
        <w:rPr>
          <w:sz w:val="24"/>
        </w:rPr>
        <w:t>Slide 28/38: (Untitled)</w:t>
      </w:r>
    </w:p>
    <w:p>
      <w:r>
        <w:rPr>
          <w:i/>
          <w:color w:val="888888"/>
        </w:rPr>
        <w:t>[Image placeholder]</w:t>
      </w:r>
    </w:p>
    <w:p>
      <w:pPr>
        <w:spacing w:before="80" w:after="80"/>
        <w:shd w:fill="E8E8E8" w:val="clear"/>
      </w:pPr>
      <w:r>
        <w:rPr>
          <w:i/>
          <w:color w:val="444444"/>
          <w:sz w:val="18"/>
        </w:rPr>
        <w:t>Speaker Notes: Which rate book (RB) should be used?</w:t>
        <w:br/>
        <w:t>The Policy Rate as of Date controls which version of a rate book (RB) to use when there are rate book versions with overlapping effective dates.</w:t>
        <w:br/>
        <w:br/>
        <w:t>First, the submission is rated using rate book Y</w:t>
        <w:br/>
        <w:br/>
        <w:t>All three rate books, X, Y, and Z, are effective on Jan 1, 2017</w:t>
        <w:br/>
        <w:br/>
        <w:t>Base configuration Policy Change uses RB Y because:</w:t>
        <w:br/>
        <w:br/>
        <w:t>Those rates were used originally to rate the policy</w:t>
        <w:br/>
        <w:br/>
        <w:t>Rate as of Date has the original policy's rate date</w:t>
        <w:br/>
        <w:br/>
        <w:t>Which rate book is used can be configured according to insurer requirements. Cascaded lookup is available as a way to find matching rate tables in a hierarchical list of rate books.</w:t>
      </w:r>
    </w:p>
    <w:p>
      <w:pPr>
        <w:pStyle w:val="Heading3"/>
      </w:pPr>
      <w:r>
        <w:rPr>
          <w:sz w:val="24"/>
        </w:rPr>
        <w:t>Slide 29/38: (Untitled)</w:t>
      </w:r>
    </w:p>
    <w:p>
      <w:r>
        <w:rPr>
          <w:i/>
          <w:color w:val="888888"/>
        </w:rPr>
        <w:t>[Image placeholder]</w:t>
      </w:r>
    </w:p>
    <w:p>
      <w:pPr>
        <w:spacing w:before="80" w:after="80"/>
        <w:shd w:fill="E8E8E8" w:val="clear"/>
      </w:pPr>
      <w:r>
        <w:rPr>
          <w:i/>
          <w:color w:val="444444"/>
          <w:sz w:val="18"/>
        </w:rPr>
        <w:t>Speaker Notes: Demonstration</w:t>
        <w:br/>
        <w:t>Export and import RBs to XML to move RBs from one environment to another without moving the entire database:</w:t>
        <w:br/>
        <w:t>RB can have any status except Draft, and</w:t>
        <w:br/>
        <w:t>ratebookview permission must be granted.</w:t>
        <w:br/>
        <w:br/>
        <w:t>The user must have the appropriate permission.</w:t>
        <w:br/>
        <w:br/>
        <w:t>The exported or imported XMLincludes the rate book and rate routines associated with the rate book. If a rate book contains rate tables that are referencing (not owned), then the exported XMLcontains links to the rate table content By not duplicating the rate table content, referencing provides an efficient use of memory if the target system contains the rate table content.</w:t>
        <w:br/>
        <w:br/>
        <w:t xml:space="preserve">You may get a validation warning or errors. If you get any warnings the Export To XML button changes to Continue to Export to XML. If you wish to continue the export with the warning, either continue or fix the warning issue first. If you receive validation errors, then export cannot be continued. </w:t>
        <w:br/>
        <w:br/>
        <w:t>Any development environment should have unique prefix for ids,  in line with Guidewire's general recommended practices</w:t>
      </w:r>
    </w:p>
    <w:p>
      <w:pPr>
        <w:pStyle w:val="Heading3"/>
      </w:pPr>
      <w:r>
        <w:rPr>
          <w:sz w:val="24"/>
        </w:rPr>
        <w:t>Slide 30/38: (Untitled)</w:t>
      </w:r>
    </w:p>
    <w:p>
      <w:pPr>
        <w:spacing w:before="80" w:after="80"/>
        <w:shd w:fill="E8E8E8" w:val="clear"/>
      </w:pPr>
      <w:r>
        <w:rPr>
          <w:i/>
          <w:color w:val="444444"/>
          <w:sz w:val="18"/>
        </w:rPr>
        <w:t>Speaker Notes: Demonstration</w:t>
        <w:br/>
        <w:t>Export and import RBs to XML to move RBs from one environment to another without moving the entire database:</w:t>
        <w:br/>
        <w:t>RB can have any status except Draft, and</w:t>
        <w:br/>
        <w:t>ratebookview permission must be granted.</w:t>
        <w:br/>
        <w:br/>
        <w:t>The user must have the appropriate permission.</w:t>
        <w:br/>
        <w:br/>
        <w:t>The exported or imported XMLincludes the rate book and rate routines associated with the rate book. If a rate book contains rate tables that are referencing (not owned), then the exported XMLcontains links to the rate table content By not duplicating the rate table content, referencing provides an efficient use of memory if the target system contains the rate table content.</w:t>
        <w:br/>
        <w:br/>
        <w:t xml:space="preserve">You may get a validation warning or errors. If you get any warnings the Export To XML button changes to Continue to Export to XML. If you wish to continue the export with the warning, either continue or fix the warning issue first. If you receive validation errors, then export cannot be continued. </w:t>
        <w:br/>
        <w:br/>
        <w:t>Any development environment should have unique prefix for ids,  in line with Guidewire's general recommended practices</w:t>
      </w:r>
    </w:p>
    <w:p>
      <w:pPr>
        <w:pStyle w:val="Heading3"/>
      </w:pPr>
      <w:r>
        <w:rPr>
          <w:sz w:val="24"/>
        </w:rPr>
        <w:t>Slide 31/38: (Untitled)</w:t>
      </w:r>
    </w:p>
    <w:p>
      <w:r>
        <w:rPr>
          <w:i/>
          <w:color w:val="888888"/>
        </w:rPr>
        <w:t>[Image placeholder]</w:t>
      </w:r>
    </w:p>
    <w:p>
      <w:pPr>
        <w:pStyle w:val="Heading3"/>
      </w:pPr>
      <w:r>
        <w:rPr>
          <w:sz w:val="24"/>
        </w:rPr>
        <w:t>Slide 32/38: (Untitled)</w:t>
      </w:r>
    </w:p>
    <w:p>
      <w:r>
        <w:rPr>
          <w:i/>
          <w:color w:val="888888"/>
        </w:rPr>
        <w:t>[Image placeholder]</w:t>
      </w:r>
    </w:p>
    <w:p>
      <w:pPr>
        <w:pStyle w:val="Heading3"/>
      </w:pPr>
      <w:r>
        <w:rPr>
          <w:sz w:val="24"/>
        </w:rPr>
        <w:t>Slide 33/38: (Untitled)</w:t>
      </w:r>
    </w:p>
    <w:p>
      <w:r>
        <w:rPr>
          <w:i/>
          <w:color w:val="888888"/>
        </w:rPr>
        <w:t>[Image placeholder]</w:t>
      </w:r>
    </w:p>
    <w:p>
      <w:pPr>
        <w:pStyle w:val="Heading3"/>
      </w:pPr>
      <w:r>
        <w:rPr>
          <w:sz w:val="24"/>
        </w:rPr>
        <w:t>Slide 34/38: (Untitled)</w:t>
      </w:r>
    </w:p>
    <w:p>
      <w:r>
        <w:rPr>
          <w:i/>
          <w:color w:val="888888"/>
        </w:rPr>
        <w:t>[Image placeholder]</w:t>
      </w:r>
    </w:p>
    <w:p>
      <w:pPr>
        <w:pStyle w:val="Heading3"/>
      </w:pPr>
      <w:r>
        <w:rPr>
          <w:sz w:val="24"/>
        </w:rPr>
        <w:t>Slide 35/38: (Untitled)</w:t>
      </w:r>
    </w:p>
    <w:p>
      <w:r>
        <w:rPr>
          <w:i/>
          <w:color w:val="888888"/>
        </w:rPr>
        <w:t>[Image placeholder]</w:t>
      </w:r>
    </w:p>
    <w:p>
      <w:pPr>
        <w:pStyle w:val="Heading3"/>
      </w:pPr>
      <w:r>
        <w:rPr>
          <w:sz w:val="24"/>
        </w:rPr>
        <w:t>Slide 36/38: (Untitled)</w:t>
      </w:r>
    </w:p>
    <w:p>
      <w:r>
        <w:rPr>
          <w:i/>
          <w:color w:val="888888"/>
        </w:rPr>
        <w:t>[Image placeholder]</w:t>
      </w:r>
    </w:p>
    <w:p>
      <w:pPr>
        <w:pStyle w:val="Heading3"/>
      </w:pPr>
      <w:r>
        <w:rPr>
          <w:sz w:val="24"/>
        </w:rPr>
        <w:t>Slide 37/38: (Untitled)</w:t>
      </w:r>
    </w:p>
    <w:p>
      <w:r>
        <w:rPr>
          <w:i/>
          <w:color w:val="888888"/>
        </w:rPr>
        <w:t>[Image placeholder]</w:t>
      </w:r>
    </w:p>
    <w:p>
      <w:pPr>
        <w:pStyle w:val="Heading3"/>
      </w:pPr>
      <w:r>
        <w:rPr>
          <w:sz w:val="24"/>
        </w:rPr>
        <w:t>Slide 38/38: (Untitled)</w:t>
      </w:r>
    </w:p>
    <w:p>
      <w:r>
        <w:rPr>
          <w:i/>
          <w:color w:val="888888"/>
        </w:rPr>
        <w:t>[Image placeholder]</w:t>
      </w:r>
    </w:p>
    <w:p/>
    <w:p>
      <w:pPr>
        <w:spacing w:before="240"/>
        <w:jc w:val="center"/>
      </w:pPr>
      <w:r>
        <w:rPr>
          <w:i/>
          <w:color w:val="999999"/>
          <w:sz w:val="16"/>
        </w:rPr>
        <w:t>--- End of Lesson 3: Rate Books and Rate Tables | 38 slides | 11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