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13: Rating Introduction</w:t>
      </w:r>
    </w:p>
    <w:p>
      <w:pPr>
        <w:pStyle w:val="Heading2"/>
      </w:pPr>
      <w:r>
        <w:rPr>
          <w:color w:val="333333"/>
          <w:sz w:val="28"/>
        </w:rPr>
        <w:t>Lesson 6: Rating Overrides</w:t>
      </w:r>
    </w:p>
    <w:p>
      <w:pPr>
        <w:spacing w:after="40"/>
      </w:pPr>
      <w:r>
        <w:rPr>
          <w:i/>
          <w:color w:val="999999"/>
          <w:sz w:val="16"/>
        </w:rPr>
        <w:t>Source: Rating Overrides.pptx</w:t>
      </w:r>
    </w:p>
    <w:p>
      <w:pPr>
        <w:pStyle w:val="Heading3"/>
      </w:pPr>
      <w:r>
        <w:t>Video References</w:t>
      </w:r>
    </w:p>
    <w:p>
      <w:pPr>
        <w:pStyle w:val="ListNumber"/>
      </w:pPr>
      <w:r>
        <w:rPr>
          <w:color w:val="0066CC"/>
          <w:sz w:val="20"/>
        </w:rPr>
        <w:t>[Video 1: Ra_Intro_01_01.mp4]</w:t>
      </w:r>
    </w:p>
    <w:p>
      <w:pPr>
        <w:pStyle w:val="ListNumber"/>
      </w:pPr>
      <w:r>
        <w:rPr>
          <w:color w:val="0066CC"/>
          <w:sz w:val="20"/>
        </w:rPr>
        <w:t>[Video 2: Ra_Intro_01_02.mp4]</w:t>
      </w:r>
    </w:p>
    <w:p>
      <w:pPr>
        <w:pStyle w:val="ListNumber"/>
      </w:pPr>
      <w:r>
        <w:rPr>
          <w:color w:val="0066CC"/>
          <w:sz w:val="20"/>
        </w:rPr>
        <w:t>[Video 3: Ra_Intro_01_03.mp4]</w:t>
      </w:r>
    </w:p>
    <w:p>
      <w:pPr>
        <w:pStyle w:val="ListNumber"/>
      </w:pPr>
      <w:r>
        <w:rPr>
          <w:color w:val="0066CC"/>
          <w:sz w:val="20"/>
        </w:rPr>
        <w:t>[Video 4: Ra_Intro_02_02.mp4]</w:t>
      </w:r>
    </w:p>
    <w:p>
      <w:pPr>
        <w:pStyle w:val="ListNumber"/>
      </w:pPr>
      <w:r>
        <w:rPr>
          <w:color w:val="0066CC"/>
          <w:sz w:val="20"/>
        </w:rPr>
        <w:t>[Video 5: Ra_Intro_03_01.mp4]</w:t>
      </w:r>
    </w:p>
    <w:p>
      <w:pPr>
        <w:pStyle w:val="ListNumber"/>
      </w:pPr>
      <w:r>
        <w:rPr>
          <w:color w:val="0066CC"/>
          <w:sz w:val="20"/>
        </w:rPr>
        <w:t>[Video 6: Ra_Intro_04_01.mp4]</w:t>
      </w:r>
    </w:p>
    <w:p>
      <w:pPr>
        <w:pStyle w:val="ListNumber"/>
      </w:pPr>
      <w:r>
        <w:rPr>
          <w:color w:val="0066CC"/>
          <w:sz w:val="20"/>
        </w:rPr>
        <w:t>[Video 7: Ra_Intro_05_01.mp4]</w:t>
      </w:r>
    </w:p>
    <w:p>
      <w:pPr>
        <w:pStyle w:val="ListNumber"/>
      </w:pPr>
      <w:r>
        <w:rPr>
          <w:color w:val="0066CC"/>
          <w:sz w:val="20"/>
        </w:rPr>
        <w:t>[Video 8: Ra_Intro_05_02.mp4]</w:t>
      </w:r>
    </w:p>
    <w:p>
      <w:pPr>
        <w:pStyle w:val="ListNumber"/>
      </w:pPr>
      <w:r>
        <w:rPr>
          <w:color w:val="0066CC"/>
          <w:sz w:val="20"/>
        </w:rPr>
        <w:t>[Video 9: Ra_Intro_06_01.mp4]</w:t>
      </w:r>
    </w:p>
    <w:p>
      <w:pPr>
        <w:pStyle w:val="ListNumber"/>
      </w:pPr>
      <w:r>
        <w:rPr>
          <w:color w:val="0066CC"/>
          <w:sz w:val="20"/>
        </w:rPr>
        <w:t>[Video 10: Ra_Intro_07_01.mp4]</w:t>
      </w:r>
    </w:p>
    <w:p>
      <w:pPr>
        <w:pStyle w:val="ListNumber"/>
      </w:pPr>
      <w:r>
        <w:rPr>
          <w:color w:val="0066CC"/>
          <w:sz w:val="20"/>
        </w:rPr>
        <w:t>[Video 11: Ra_intro_02_01 .mp4]</w:t>
      </w:r>
    </w:p>
    <w:p/>
    <w:p>
      <w:pPr>
        <w:pStyle w:val="Heading2"/>
      </w:pPr>
      <w:r>
        <w:t>Slide Content</w:t>
      </w:r>
    </w:p>
    <w:p>
      <w:pPr>
        <w:pStyle w:val="Heading3"/>
      </w:pPr>
      <w:r>
        <w:rPr>
          <w:sz w:val="24"/>
        </w:rPr>
        <w:t>Slide 1/18: (Untitled)</w:t>
      </w:r>
    </w:p>
    <w:p>
      <w:r>
        <w:rPr>
          <w:i/>
          <w:color w:val="888888"/>
        </w:rPr>
        <w:t>[Image placeholder]</w:t>
      </w:r>
    </w:p>
    <w:p>
      <w:pPr>
        <w:pStyle w:val="Heading3"/>
      </w:pPr>
      <w:r>
        <w:rPr>
          <w:sz w:val="24"/>
        </w:rPr>
        <w:t>Slide 2/18: (Untitled)</w:t>
      </w:r>
    </w:p>
    <w:p>
      <w:r>
        <w:rPr>
          <w:i/>
          <w:color w:val="888888"/>
        </w:rPr>
        <w:t>[Image placeholder]</w:t>
      </w:r>
    </w:p>
    <w:p>
      <w:pPr>
        <w:pStyle w:val="Heading3"/>
      </w:pPr>
      <w:r>
        <w:rPr>
          <w:sz w:val="24"/>
        </w:rPr>
        <w:t>Slide 3/18: (Untitled)</w:t>
      </w:r>
    </w:p>
    <w:p>
      <w:r>
        <w:rPr>
          <w:i/>
          <w:color w:val="888888"/>
        </w:rPr>
        <w:t>[Image placeholder]</w:t>
      </w:r>
    </w:p>
    <w:p>
      <w:pPr>
        <w:pStyle w:val="Heading3"/>
      </w:pPr>
      <w:r>
        <w:rPr>
          <w:sz w:val="24"/>
        </w:rPr>
        <w:t>Slide 4/18: (Untitled)</w:t>
      </w:r>
    </w:p>
    <w:p>
      <w:r>
        <w:rPr>
          <w:i/>
          <w:color w:val="888888"/>
        </w:rPr>
        <w:t>[Image placeholder]</w:t>
      </w:r>
    </w:p>
    <w:p>
      <w:pPr>
        <w:pStyle w:val="Heading3"/>
      </w:pPr>
      <w:r>
        <w:rPr>
          <w:sz w:val="24"/>
        </w:rPr>
        <w:t>Slide 5/18: (Untitled)</w:t>
      </w:r>
    </w:p>
    <w:p>
      <w:r>
        <w:rPr>
          <w:i/>
          <w:color w:val="888888"/>
        </w:rPr>
        <w:t>[Image placeholder]</w:t>
      </w:r>
    </w:p>
    <w:p>
      <w:pPr>
        <w:spacing w:before="80" w:after="80"/>
        <w:shd w:fill="E8E8E8" w:val="clear"/>
      </w:pPr>
      <w:r>
        <w:rPr>
          <w:i/>
          <w:color w:val="444444"/>
          <w:sz w:val="18"/>
        </w:rPr>
        <w:t>Speaker Notes: Rating overrides</w:t>
        <w:br/>
        <w:t>The user cannot enter any overrides without first rating a policy. After viewing the results from a quote, the user can decide to apply overrides where permitted.</w:t>
      </w:r>
    </w:p>
    <w:p>
      <w:pPr>
        <w:pStyle w:val="Heading3"/>
      </w:pPr>
      <w:r>
        <w:rPr>
          <w:sz w:val="24"/>
        </w:rPr>
        <w:t>Slide 6/18: (Untitled)</w:t>
      </w:r>
    </w:p>
    <w:p>
      <w:r>
        <w:rPr>
          <w:i/>
          <w:color w:val="888888"/>
        </w:rPr>
        <w:t>[Image placeholder]</w:t>
      </w:r>
    </w:p>
    <w:p>
      <w:pPr>
        <w:spacing w:before="80" w:after="80"/>
        <w:shd w:fill="E8E8E8" w:val="clear"/>
      </w:pPr>
      <w:r>
        <w:rPr>
          <w:i/>
          <w:color w:val="444444"/>
          <w:sz w:val="18"/>
        </w:rPr>
        <w:t>Speaker Notes: Review: How are costs handled in PolicyCenter?</w:t>
        <w:br/>
        <w:t>The values BaseRate, AdjRate, Basis, ProrataFactor, TermAmount and Amount are allstored in the cost in the PolicyCenter.</w:t>
      </w:r>
    </w:p>
    <w:p>
      <w:pPr>
        <w:pStyle w:val="Heading3"/>
      </w:pPr>
      <w:r>
        <w:rPr>
          <w:sz w:val="24"/>
        </w:rPr>
        <w:t>Slide 7/18: (Untitled)</w:t>
      </w:r>
    </w:p>
    <w:p>
      <w:r>
        <w:rPr>
          <w:i/>
          <w:color w:val="888888"/>
        </w:rPr>
        <w:t>[Image placeholder]</w:t>
      </w:r>
    </w:p>
    <w:p>
      <w:pPr>
        <w:spacing w:before="80" w:after="80"/>
        <w:shd w:fill="E8E8E8" w:val="clear"/>
      </w:pPr>
      <w:r>
        <w:rPr>
          <w:i/>
          <w:color w:val="444444"/>
          <w:sz w:val="18"/>
        </w:rPr>
        <w:t>Speaker Notes: What can you override?</w:t>
        <w:br/>
        <w:t>Rating overrides allow you to override the base rate and adjusted rate. You can also enter the un-prorated amount for the term amount, or a enter a prorated amount to set a flat cost.  If a policy has rating overrides,  PolicyCenter creates an underwriting issue before releasing the quote. The issue must be approved before certain users, such as agents, can view the quote. This process enables the insurer to verify that overrides are properly reviewed and approved before releasing pricing information.</w:t>
      </w:r>
    </w:p>
    <w:p>
      <w:pPr>
        <w:pStyle w:val="Heading3"/>
      </w:pPr>
      <w:r>
        <w:rPr>
          <w:sz w:val="24"/>
        </w:rPr>
        <w:t>Slide 8/18: (Untitled)</w:t>
      </w:r>
    </w:p>
    <w:p>
      <w:r>
        <w:rPr>
          <w:i/>
          <w:color w:val="888888"/>
        </w:rPr>
        <w:t>[Image placeholder]</w:t>
      </w:r>
    </w:p>
    <w:p>
      <w:pPr>
        <w:spacing w:before="80" w:after="80"/>
        <w:shd w:fill="E8E8E8" w:val="clear"/>
      </w:pPr>
      <w:r>
        <w:rPr>
          <w:i/>
          <w:color w:val="444444"/>
          <w:sz w:val="18"/>
        </w:rPr>
        <w:t>Speaker Notes: What lines of business allow rating overrides?</w:t>
        <w:br/>
        <w:t>In the base configuration, the workers' compensation, inland marine, and commercial property lines of business (LOB) allow rating overrides. You can add rating overrides to other lines, as well</w:t>
      </w:r>
    </w:p>
    <w:p>
      <w:pPr>
        <w:pStyle w:val="Heading3"/>
      </w:pPr>
      <w:r>
        <w:rPr>
          <w:sz w:val="24"/>
        </w:rPr>
        <w:t>Slide 9/18: (Untitled)</w:t>
      </w:r>
    </w:p>
    <w:p>
      <w:r>
        <w:rPr>
          <w:i/>
          <w:color w:val="888888"/>
        </w:rPr>
        <w:t>[Image placeholder]</w:t>
      </w:r>
    </w:p>
    <w:p>
      <w:pPr>
        <w:spacing w:before="80" w:after="80"/>
        <w:shd w:fill="E8E8E8" w:val="clear"/>
      </w:pPr>
      <w:r>
        <w:rPr>
          <w:i/>
          <w:color w:val="444444"/>
          <w:sz w:val="18"/>
        </w:rPr>
        <w:t>Speaker Notes: What cannot be overridden?</w:t>
        <w:br/>
        <w:t>There are certain types of costs where rating overrides are not appropriate. The overrides can be disabled for these cost types. For example, you may designate that users cannot override the tax calculation. In the base application, experience modifiers and schedule credits do not allow overrides since the user directly enters values when they are editing the policy.</w:t>
      </w:r>
    </w:p>
    <w:p>
      <w:pPr>
        <w:pStyle w:val="Heading3"/>
      </w:pPr>
      <w:r>
        <w:rPr>
          <w:sz w:val="24"/>
        </w:rPr>
        <w:t>Slide 10/18: (Untitled)</w:t>
      </w:r>
    </w:p>
    <w:p>
      <w:r>
        <w:rPr>
          <w:i/>
          <w:color w:val="888888"/>
        </w:rPr>
        <w:t>[Image placeholder]</w:t>
      </w:r>
    </w:p>
    <w:p>
      <w:pPr>
        <w:spacing w:before="80" w:after="80"/>
        <w:shd w:fill="E8E8E8" w:val="clear"/>
      </w:pPr>
      <w:r>
        <w:rPr>
          <w:i/>
          <w:color w:val="444444"/>
          <w:sz w:val="18"/>
        </w:rPr>
        <w:t>Speaker Notes: Costs and rating overrides (developers)</w:t>
        <w:br/>
        <w:t>Each set of data includes:</w:t>
        <w:br/>
        <w:br/>
        <w:t>Base Rate — rate found from rate table lookup</w:t>
        <w:br/>
        <w:br/>
        <w:t>Adjusted Rate — rate derived from base rate adjusted for factors such as applied deductible or taxes</w:t>
        <w:br/>
        <w:br/>
        <w:t>Term Amount — Premium or cost used for a full policy term</w:t>
        <w:br/>
        <w:br/>
        <w:t>Amount — Term amount adjusted for the effective period</w:t>
        <w:br/>
        <w:br/>
        <w:t>The user cannot enter any overrides without first rating a policy. After viewing the results from a quote, they overrides can be applied where permitted.</w:t>
      </w:r>
    </w:p>
    <w:p>
      <w:pPr>
        <w:pStyle w:val="Heading3"/>
      </w:pPr>
      <w:r>
        <w:rPr>
          <w:sz w:val="24"/>
        </w:rPr>
        <w:t>Slide 11/18: (Untitled)</w:t>
      </w:r>
    </w:p>
    <w:p>
      <w:r>
        <w:rPr>
          <w:i/>
          <w:color w:val="888888"/>
        </w:rPr>
        <w:t>[Image placeholder]</w:t>
      </w:r>
    </w:p>
    <w:p>
      <w:pPr>
        <w:pStyle w:val="Heading3"/>
      </w:pPr>
      <w:r>
        <w:rPr>
          <w:sz w:val="24"/>
        </w:rPr>
        <w:t>Slide 12/18: (Untitled)</w:t>
      </w:r>
    </w:p>
    <w:p>
      <w:r>
        <w:rPr>
          <w:i/>
          <w:color w:val="888888"/>
        </w:rPr>
        <w:t>[Image placeholder]</w:t>
      </w:r>
    </w:p>
    <w:p>
      <w:pPr>
        <w:pStyle w:val="Heading3"/>
      </w:pPr>
      <w:r>
        <w:rPr>
          <w:sz w:val="24"/>
        </w:rPr>
        <w:t>Slide 13/18: (Untitled)</w:t>
      </w:r>
    </w:p>
    <w:p>
      <w:r>
        <w:rPr>
          <w:i/>
          <w:color w:val="888888"/>
        </w:rPr>
        <w:t>[Image placeholder]</w:t>
      </w:r>
    </w:p>
    <w:p>
      <w:pPr>
        <w:pStyle w:val="Heading3"/>
      </w:pPr>
      <w:r>
        <w:rPr>
          <w:sz w:val="24"/>
        </w:rPr>
        <w:t>Slide 14/18: (Untitled)</w:t>
      </w:r>
    </w:p>
    <w:p>
      <w:pPr>
        <w:pStyle w:val="Heading3"/>
      </w:pPr>
      <w:r>
        <w:rPr>
          <w:sz w:val="24"/>
        </w:rPr>
        <w:t>Slide 15/18: (Untitled)</w:t>
      </w:r>
    </w:p>
    <w:p>
      <w:r>
        <w:rPr>
          <w:i/>
          <w:color w:val="888888"/>
        </w:rPr>
        <w:t>[Image placeholder]</w:t>
      </w:r>
    </w:p>
    <w:p>
      <w:pPr>
        <w:pStyle w:val="Heading3"/>
      </w:pPr>
      <w:r>
        <w:rPr>
          <w:sz w:val="24"/>
        </w:rPr>
        <w:t>Slide 16/18: (Untitled)</w:t>
      </w:r>
    </w:p>
    <w:p>
      <w:r>
        <w:rPr>
          <w:i/>
          <w:color w:val="888888"/>
        </w:rPr>
        <w:t>[Image placeholder]</w:t>
      </w:r>
    </w:p>
    <w:p>
      <w:pPr>
        <w:pStyle w:val="Heading3"/>
      </w:pPr>
      <w:r>
        <w:rPr>
          <w:sz w:val="24"/>
        </w:rPr>
        <w:t>Slide 17/18: (Untitled)</w:t>
      </w:r>
    </w:p>
    <w:p>
      <w:r>
        <w:rPr>
          <w:i/>
          <w:color w:val="888888"/>
        </w:rPr>
        <w:t>[Image placeholder]</w:t>
      </w:r>
    </w:p>
    <w:p>
      <w:pPr>
        <w:pStyle w:val="Heading3"/>
      </w:pPr>
      <w:r>
        <w:rPr>
          <w:sz w:val="24"/>
        </w:rPr>
        <w:t>Slide 18/18: (Untitled)</w:t>
      </w:r>
    </w:p>
    <w:p>
      <w:r>
        <w:rPr>
          <w:i/>
          <w:color w:val="888888"/>
        </w:rPr>
        <w:t>[Image placeholder]</w:t>
      </w:r>
    </w:p>
    <w:p/>
    <w:p>
      <w:pPr>
        <w:spacing w:before="240"/>
        <w:jc w:val="center"/>
      </w:pPr>
      <w:r>
        <w:rPr>
          <w:i/>
          <w:color w:val="999999"/>
          <w:sz w:val="16"/>
        </w:rPr>
        <w:t>--- End of Lesson 6: Rating Overrides | 18 slides | 11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