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13: Rating Introduction</w:t>
      </w:r>
    </w:p>
    <w:p>
      <w:pPr>
        <w:pStyle w:val="Heading2"/>
      </w:pPr>
      <w:r>
        <w:rPr>
          <w:color w:val="333333"/>
          <w:sz w:val="28"/>
        </w:rPr>
        <w:t>Lesson 7: Impact Testing</w:t>
      </w:r>
    </w:p>
    <w:p>
      <w:pPr>
        <w:spacing w:after="40"/>
      </w:pPr>
      <w:r>
        <w:rPr>
          <w:i/>
          <w:color w:val="999999"/>
          <w:sz w:val="16"/>
        </w:rPr>
        <w:t>Source: Impact Testing.pptx</w:t>
      </w:r>
    </w:p>
    <w:p>
      <w:pPr>
        <w:pStyle w:val="Heading3"/>
      </w:pPr>
      <w:r>
        <w:t>Video References</w:t>
      </w:r>
    </w:p>
    <w:p>
      <w:pPr>
        <w:pStyle w:val="ListNumber"/>
      </w:pPr>
      <w:r>
        <w:rPr>
          <w:color w:val="0066CC"/>
          <w:sz w:val="20"/>
        </w:rPr>
        <w:t>[Video 1: Ra_Intro_01_01.mp4]</w:t>
      </w:r>
    </w:p>
    <w:p>
      <w:pPr>
        <w:pStyle w:val="ListNumber"/>
      </w:pPr>
      <w:r>
        <w:rPr>
          <w:color w:val="0066CC"/>
          <w:sz w:val="20"/>
        </w:rPr>
        <w:t>[Video 2: Ra_Intro_01_02.mp4]</w:t>
      </w:r>
    </w:p>
    <w:p>
      <w:pPr>
        <w:pStyle w:val="ListNumber"/>
      </w:pPr>
      <w:r>
        <w:rPr>
          <w:color w:val="0066CC"/>
          <w:sz w:val="20"/>
        </w:rPr>
        <w:t>[Video 3: Ra_Intro_01_03.mp4]</w:t>
      </w:r>
    </w:p>
    <w:p>
      <w:pPr>
        <w:pStyle w:val="ListNumber"/>
      </w:pPr>
      <w:r>
        <w:rPr>
          <w:color w:val="0066CC"/>
          <w:sz w:val="20"/>
        </w:rPr>
        <w:t>[Video 4: Ra_Intro_02_02.mp4]</w:t>
      </w:r>
    </w:p>
    <w:p>
      <w:pPr>
        <w:pStyle w:val="ListNumber"/>
      </w:pPr>
      <w:r>
        <w:rPr>
          <w:color w:val="0066CC"/>
          <w:sz w:val="20"/>
        </w:rPr>
        <w:t>[Video 5: Ra_Intro_03_01.mp4]</w:t>
      </w:r>
    </w:p>
    <w:p>
      <w:pPr>
        <w:pStyle w:val="ListNumber"/>
      </w:pPr>
      <w:r>
        <w:rPr>
          <w:color w:val="0066CC"/>
          <w:sz w:val="20"/>
        </w:rPr>
        <w:t>[Video 6: Ra_Intro_04_01.mp4]</w:t>
      </w:r>
    </w:p>
    <w:p>
      <w:pPr>
        <w:pStyle w:val="ListNumber"/>
      </w:pPr>
      <w:r>
        <w:rPr>
          <w:color w:val="0066CC"/>
          <w:sz w:val="20"/>
        </w:rPr>
        <w:t>[Video 7: Ra_Intro_05_01.mp4]</w:t>
      </w:r>
    </w:p>
    <w:p>
      <w:pPr>
        <w:pStyle w:val="ListNumber"/>
      </w:pPr>
      <w:r>
        <w:rPr>
          <w:color w:val="0066CC"/>
          <w:sz w:val="20"/>
        </w:rPr>
        <w:t>[Video 8: Ra_Intro_05_02.mp4]</w:t>
      </w:r>
    </w:p>
    <w:p>
      <w:pPr>
        <w:pStyle w:val="ListNumber"/>
      </w:pPr>
      <w:r>
        <w:rPr>
          <w:color w:val="0066CC"/>
          <w:sz w:val="20"/>
        </w:rPr>
        <w:t>[Video 9: Ra_Intro_06_01.mp4]</w:t>
      </w:r>
    </w:p>
    <w:p>
      <w:pPr>
        <w:pStyle w:val="ListNumber"/>
      </w:pPr>
      <w:r>
        <w:rPr>
          <w:color w:val="0066CC"/>
          <w:sz w:val="20"/>
        </w:rPr>
        <w:t>[Video 10: Ra_Intro_07_01.mp4]</w:t>
      </w:r>
    </w:p>
    <w:p>
      <w:pPr>
        <w:pStyle w:val="ListNumber"/>
      </w:pPr>
      <w:r>
        <w:rPr>
          <w:color w:val="0066CC"/>
          <w:sz w:val="20"/>
        </w:rPr>
        <w:t>[Video 11: Ra_intro_02_01 .mp4]</w:t>
      </w:r>
    </w:p>
    <w:p/>
    <w:p>
      <w:pPr>
        <w:pStyle w:val="Heading2"/>
      </w:pPr>
      <w:r>
        <w:t>Slide Content</w:t>
      </w:r>
    </w:p>
    <w:p>
      <w:pPr>
        <w:pStyle w:val="Heading3"/>
      </w:pPr>
      <w:r>
        <w:rPr>
          <w:sz w:val="24"/>
        </w:rPr>
        <w:t>Slide 1/15: (Untitled)</w:t>
      </w:r>
    </w:p>
    <w:p>
      <w:r>
        <w:rPr>
          <w:i/>
          <w:color w:val="888888"/>
        </w:rPr>
        <w:t>[Image placeholder]</w:t>
      </w:r>
    </w:p>
    <w:p>
      <w:pPr>
        <w:pStyle w:val="Heading3"/>
      </w:pPr>
      <w:r>
        <w:rPr>
          <w:sz w:val="24"/>
        </w:rPr>
        <w:t>Slide 2/15: (Untitled)</w:t>
      </w:r>
    </w:p>
    <w:p>
      <w:r>
        <w:rPr>
          <w:i/>
          <w:color w:val="888888"/>
        </w:rPr>
        <w:t>[Image placeholder]</w:t>
      </w:r>
    </w:p>
    <w:p>
      <w:pPr>
        <w:pStyle w:val="Heading3"/>
      </w:pPr>
      <w:r>
        <w:rPr>
          <w:sz w:val="24"/>
        </w:rPr>
        <w:t>Slide 3/15: (Untitled)</w:t>
      </w:r>
    </w:p>
    <w:p>
      <w:r>
        <w:rPr>
          <w:i/>
          <w:color w:val="888888"/>
        </w:rPr>
        <w:t>[Image placeholder]</w:t>
      </w:r>
    </w:p>
    <w:p>
      <w:pPr>
        <w:pStyle w:val="Heading3"/>
      </w:pPr>
      <w:r>
        <w:rPr>
          <w:sz w:val="24"/>
        </w:rPr>
        <w:t>Slide 4/15: (Untitled)</w:t>
      </w:r>
    </w:p>
    <w:p>
      <w:r>
        <w:rPr>
          <w:i/>
          <w:color w:val="888888"/>
        </w:rPr>
        <w:t>[Image placeholder]</w:t>
      </w:r>
    </w:p>
    <w:p>
      <w:pPr>
        <w:spacing w:before="80" w:after="80"/>
        <w:shd w:fill="E8E8E8" w:val="clear"/>
      </w:pPr>
      <w:r>
        <w:rPr>
          <w:i/>
          <w:color w:val="444444"/>
          <w:sz w:val="18"/>
        </w:rPr>
        <w:t>Speaker Notes: Impact testing process</w:t>
        <w:br/>
        <w:t>Impact testing runs a wizard to re-rate policies that match selection criteria using the last state of the policy.</w:t>
        <w:br/>
        <w:br/>
        <w:t>For example , if the policy originally had one vehicle and then a second vehicle was added, the policy is re-rated using the active rate book including the two vehicles for the full period— this forms the baseline. The new PolicyPeriod has only one slice, which is the full-term equivalent of the original PolicyPeriod last slice. Once the periods are selected, then the plugin creates test versions of the quote using baseline periods that are similar to multi-version policies by cloning the baseline periods. The user has to select which rate books to use for rating the test policies. After the rate books are selected, the impact results are displayed.</w:t>
      </w:r>
    </w:p>
    <w:p>
      <w:pPr>
        <w:pStyle w:val="Heading3"/>
      </w:pPr>
      <w:r>
        <w:rPr>
          <w:sz w:val="24"/>
        </w:rPr>
        <w:t>Slide 5/15: (Untitled)</w:t>
      </w:r>
    </w:p>
    <w:p>
      <w:r>
        <w:rPr>
          <w:i/>
          <w:color w:val="888888"/>
        </w:rPr>
        <w:t>[Image placeholder]</w:t>
      </w:r>
    </w:p>
    <w:p>
      <w:pPr>
        <w:spacing w:before="80" w:after="80"/>
        <w:shd w:fill="E8E8E8" w:val="clear"/>
      </w:pPr>
      <w:r>
        <w:rPr>
          <w:i/>
          <w:color w:val="444444"/>
          <w:sz w:val="18"/>
        </w:rPr>
        <w:t>Speaker Notes: Policy selection for impact testing</w:t>
        <w:br/>
        <w:t>Before starting impact testing, you must carefully review how you are selecting the policies to be included in a given impact testing rum An impact testing run can take a significant amount of time to complete depending on the number of policies selected and the computer hardware used to execute the test. It's a best practice to run impact testing on a representative sample of your policies instead of running it on your entire book.</w:t>
      </w:r>
    </w:p>
    <w:p>
      <w:pPr>
        <w:pStyle w:val="Heading3"/>
      </w:pPr>
      <w:r>
        <w:rPr>
          <w:sz w:val="24"/>
        </w:rPr>
        <w:t>Slide 6/15: (Untitled)</w:t>
      </w:r>
    </w:p>
    <w:p>
      <w:r>
        <w:rPr>
          <w:i/>
          <w:color w:val="888888"/>
        </w:rPr>
        <w:t>[Image placeholder]</w:t>
      </w:r>
    </w:p>
    <w:p>
      <w:pPr>
        <w:pStyle w:val="Heading3"/>
      </w:pPr>
      <w:r>
        <w:rPr>
          <w:sz w:val="24"/>
        </w:rPr>
        <w:t>Slide 7/15: (Untitled)</w:t>
      </w:r>
    </w:p>
    <w:p>
      <w:pPr>
        <w:pStyle w:val="Heading3"/>
      </w:pPr>
      <w:r>
        <w:rPr>
          <w:sz w:val="24"/>
        </w:rPr>
        <w:t>Slide 8/15: (Untitled)</w:t>
      </w:r>
    </w:p>
    <w:p>
      <w:r>
        <w:rPr>
          <w:i/>
          <w:color w:val="888888"/>
        </w:rPr>
        <w:t>[Image placeholder]</w:t>
      </w:r>
    </w:p>
    <w:p>
      <w:pPr>
        <w:spacing w:before="80" w:after="80"/>
        <w:shd w:fill="E8E8E8" w:val="clear"/>
      </w:pPr>
      <w:r>
        <w:rPr>
          <w:i/>
          <w:color w:val="444444"/>
          <w:sz w:val="18"/>
        </w:rPr>
        <w:t>Speaker Notes: Rating renewals as renewal transactions</w:t>
        <w:br/>
        <w:t>In the base configuration, renewals are not included in impact testing. Impact testing rates the baseline and test policy periods for all job types as submission jobs. You can configure impact testing to rate a renewal as a renewal job instead of a submission job.</w:t>
        <w:br/>
        <w:br/>
        <w:t>For example, rate routines may include special steps for renewal jobs. Rate tables may contain factors based on job type.</w:t>
      </w:r>
    </w:p>
    <w:p>
      <w:pPr>
        <w:pStyle w:val="Heading3"/>
      </w:pPr>
      <w:r>
        <w:rPr>
          <w:sz w:val="24"/>
        </w:rPr>
        <w:t>Slide 9/15: (Untitled)</w:t>
      </w:r>
    </w:p>
    <w:p>
      <w:r>
        <w:rPr>
          <w:i/>
          <w:color w:val="888888"/>
        </w:rPr>
        <w:t>[Image placeholder]</w:t>
      </w:r>
    </w:p>
    <w:p>
      <w:pPr>
        <w:spacing w:before="80" w:after="80"/>
        <w:shd w:fill="E8E8E8" w:val="clear"/>
      </w:pPr>
      <w:r>
        <w:rPr>
          <w:i/>
          <w:color w:val="444444"/>
          <w:sz w:val="18"/>
        </w:rPr>
        <w:t>Speaker Notes: Additional configuration options</w:t>
        <w:br/>
        <w:t>In addition, you can customize how impact testing creates the test periods. For example, you may want to create test periods in another way, such as by copying submissions or spinning off policies. You can also change how to select alternate rate books in impact testing. You can make these changes by writing your own implementation of the impact testing plugin interface.</w:t>
      </w:r>
    </w:p>
    <w:p>
      <w:pPr>
        <w:pStyle w:val="Heading3"/>
      </w:pPr>
      <w:r>
        <w:rPr>
          <w:sz w:val="24"/>
        </w:rPr>
        <w:t>Slide 10/15: (Untitled)</w:t>
      </w:r>
    </w:p>
    <w:p>
      <w:r>
        <w:rPr>
          <w:i/>
          <w:color w:val="888888"/>
        </w:rPr>
        <w:t>[Image placeholder]</w:t>
      </w:r>
    </w:p>
    <w:p>
      <w:pPr>
        <w:spacing w:before="80" w:after="80"/>
        <w:shd w:fill="E8E8E8" w:val="clear"/>
      </w:pPr>
      <w:r>
        <w:rPr>
          <w:i/>
          <w:color w:val="444444"/>
          <w:sz w:val="18"/>
        </w:rPr>
        <w:t>Speaker Notes: Impact testing wamings and recommendations</w:t>
        <w:br/>
        <w:t>Impact testing is designed to work in a test environment on a copy of the production data. Impact testing is accessible only when the server is in development or test modes.  Since impact testing affects system performance and creates test policy periods that are stored in the database, impact testing is not accessible in production mode.</w:t>
        <w:br/>
        <w:br/>
        <w:t>Refer to the "Impact testing warnings and recommendations“ article in the PolicyCenter Application Guide for more details</w:t>
      </w:r>
    </w:p>
    <w:p>
      <w:pPr>
        <w:pStyle w:val="Heading3"/>
      </w:pPr>
      <w:r>
        <w:rPr>
          <w:sz w:val="24"/>
        </w:rPr>
        <w:t>Slide 11/15: (Untitled)</w:t>
      </w:r>
    </w:p>
    <w:p>
      <w:r>
        <w:rPr>
          <w:i/>
          <w:color w:val="888888"/>
        </w:rPr>
        <w:t>[Image placeholder]</w:t>
      </w:r>
    </w:p>
    <w:p>
      <w:pPr>
        <w:pStyle w:val="Heading3"/>
      </w:pPr>
      <w:r>
        <w:rPr>
          <w:sz w:val="24"/>
        </w:rPr>
        <w:t>Slide 12/15: (Untitled)</w:t>
      </w:r>
    </w:p>
    <w:p>
      <w:r>
        <w:rPr>
          <w:i/>
          <w:color w:val="888888"/>
        </w:rPr>
        <w:t>[Image placeholder]</w:t>
      </w:r>
    </w:p>
    <w:p>
      <w:pPr>
        <w:pStyle w:val="Heading3"/>
      </w:pPr>
      <w:r>
        <w:rPr>
          <w:sz w:val="24"/>
        </w:rPr>
        <w:t>Slide 13/15: (Untitled)</w:t>
      </w:r>
    </w:p>
    <w:p>
      <w:r>
        <w:rPr>
          <w:i/>
          <w:color w:val="888888"/>
        </w:rPr>
        <w:t>[Image placeholder]</w:t>
      </w:r>
    </w:p>
    <w:p>
      <w:pPr>
        <w:pStyle w:val="Heading3"/>
      </w:pPr>
      <w:r>
        <w:rPr>
          <w:sz w:val="24"/>
        </w:rPr>
        <w:t>Slide 14/15: (Untitled)</w:t>
      </w:r>
    </w:p>
    <w:p>
      <w:r>
        <w:rPr>
          <w:i/>
          <w:color w:val="888888"/>
        </w:rPr>
        <w:t>[Image placeholder]</w:t>
      </w:r>
    </w:p>
    <w:p>
      <w:pPr>
        <w:pStyle w:val="Heading3"/>
      </w:pPr>
      <w:r>
        <w:rPr>
          <w:sz w:val="24"/>
        </w:rPr>
        <w:t>Slide 15/15: (Untitled)</w:t>
      </w:r>
    </w:p>
    <w:p>
      <w:r>
        <w:rPr>
          <w:i/>
          <w:color w:val="888888"/>
        </w:rPr>
        <w:t>[Image placeholder]</w:t>
      </w:r>
    </w:p>
    <w:p/>
    <w:p>
      <w:pPr>
        <w:spacing w:before="240"/>
        <w:jc w:val="center"/>
      </w:pPr>
      <w:r>
        <w:rPr>
          <w:i/>
          <w:color w:val="999999"/>
          <w:sz w:val="16"/>
        </w:rPr>
        <w:t>--- End of Lesson 7: Impact Testing | 15 slides | 11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