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A1A1A"/>
          <w:sz w:val="36"/>
        </w:rPr>
        <w:t>Chapter 14: Rating Configuration</w:t>
      </w:r>
    </w:p>
    <w:p>
      <w:pPr>
        <w:pStyle w:val="Heading2"/>
      </w:pPr>
      <w:r>
        <w:rPr>
          <w:color w:val="333333"/>
          <w:sz w:val="28"/>
        </w:rPr>
        <w:t>Lesson 1: Configuring Costs and Transactions</w:t>
      </w:r>
    </w:p>
    <w:p>
      <w:pPr>
        <w:spacing w:after="40"/>
      </w:pPr>
      <w:r>
        <w:rPr>
          <w:i/>
          <w:color w:val="999999"/>
          <w:sz w:val="16"/>
        </w:rPr>
        <w:t>Source: Configuring Costs and Transactions.pptx</w:t>
      </w:r>
    </w:p>
    <w:p>
      <w:pPr>
        <w:pStyle w:val="Heading3"/>
      </w:pPr>
      <w:r>
        <w:t>Video References</w:t>
      </w:r>
    </w:p>
    <w:p>
      <w:pPr>
        <w:pStyle w:val="ListNumber"/>
      </w:pPr>
      <w:r>
        <w:rPr>
          <w:color w:val="0066CC"/>
          <w:sz w:val="20"/>
        </w:rPr>
        <w:t>[Video 1: Ra_Conf_01_01.mp4]</w:t>
      </w:r>
    </w:p>
    <w:p>
      <w:pPr>
        <w:pStyle w:val="ListNumber"/>
      </w:pPr>
      <w:r>
        <w:rPr>
          <w:color w:val="0066CC"/>
          <w:sz w:val="20"/>
        </w:rPr>
        <w:t>[Video 2: Ra_Conf_01_02.mp4]</w:t>
      </w:r>
    </w:p>
    <w:p>
      <w:pPr>
        <w:pStyle w:val="ListNumber"/>
      </w:pPr>
      <w:r>
        <w:rPr>
          <w:color w:val="0066CC"/>
          <w:sz w:val="20"/>
        </w:rPr>
        <w:t>[Video 3: Ra_Conf_01_03.mp4]</w:t>
      </w:r>
    </w:p>
    <w:p>
      <w:pPr>
        <w:pStyle w:val="ListNumber"/>
      </w:pPr>
      <w:r>
        <w:rPr>
          <w:color w:val="0066CC"/>
          <w:sz w:val="20"/>
        </w:rPr>
        <w:t>[Video 4: Ra_Conf_02_01.mp4]</w:t>
      </w:r>
    </w:p>
    <w:p>
      <w:pPr>
        <w:pStyle w:val="ListNumber"/>
      </w:pPr>
      <w:r>
        <w:rPr>
          <w:color w:val="0066CC"/>
          <w:sz w:val="20"/>
        </w:rPr>
        <w:t>[Video 5: Ra_Conf_03_01.mp4]</w:t>
      </w:r>
    </w:p>
    <w:p>
      <w:pPr>
        <w:pStyle w:val="ListNumber"/>
      </w:pPr>
      <w:r>
        <w:rPr>
          <w:color w:val="0066CC"/>
          <w:sz w:val="20"/>
        </w:rPr>
        <w:t>[Video 6: Ra_Conf_04_01.mp4]</w:t>
      </w:r>
    </w:p>
    <w:p>
      <w:pPr>
        <w:pStyle w:val="ListNumber"/>
      </w:pPr>
      <w:r>
        <w:rPr>
          <w:color w:val="0066CC"/>
          <w:sz w:val="20"/>
        </w:rPr>
        <w:t>[Video 7: Ra_Conf_05_01.mp4]</w:t>
      </w:r>
    </w:p>
    <w:p>
      <w:pPr>
        <w:pStyle w:val="ListNumber"/>
      </w:pPr>
      <w:r>
        <w:rPr>
          <w:color w:val="0066CC"/>
          <w:sz w:val="20"/>
        </w:rPr>
        <w:t>[Video 8: Ra_Conf_05_02.mp4]</w:t>
      </w:r>
    </w:p>
    <w:p>
      <w:pPr>
        <w:pStyle w:val="ListNumber"/>
      </w:pPr>
      <w:r>
        <w:rPr>
          <w:color w:val="0066CC"/>
          <w:sz w:val="20"/>
        </w:rPr>
        <w:t>[Video 9: Ra_Conf_05_03.mp4]</w:t>
      </w:r>
    </w:p>
    <w:p/>
    <w:p>
      <w:pPr>
        <w:pStyle w:val="Heading2"/>
      </w:pPr>
      <w:r>
        <w:t>Slide Content</w:t>
      </w:r>
    </w:p>
    <w:p>
      <w:pPr>
        <w:pStyle w:val="Heading3"/>
      </w:pPr>
      <w:r>
        <w:rPr>
          <w:sz w:val="24"/>
        </w:rPr>
        <w:t>Slide 1/28: (Untitled)</w:t>
      </w:r>
    </w:p>
    <w:p>
      <w:r>
        <w:rPr>
          <w:i/>
          <w:color w:val="888888"/>
        </w:rPr>
        <w:t>[Image placeholder]</w:t>
      </w:r>
    </w:p>
    <w:p>
      <w:pPr>
        <w:pStyle w:val="Heading3"/>
      </w:pPr>
      <w:r>
        <w:rPr>
          <w:sz w:val="24"/>
        </w:rPr>
        <w:t>Slide 2/28: (Untitled)</w:t>
      </w:r>
    </w:p>
    <w:p>
      <w:r>
        <w:rPr>
          <w:i/>
          <w:color w:val="888888"/>
        </w:rPr>
        <w:t>[Image placeholder]</w:t>
      </w:r>
    </w:p>
    <w:p>
      <w:pPr>
        <w:pStyle w:val="Heading3"/>
      </w:pPr>
      <w:r>
        <w:rPr>
          <w:sz w:val="24"/>
        </w:rPr>
        <w:t>Slide 3/28: (Untitled)</w:t>
      </w:r>
    </w:p>
    <w:p>
      <w:r>
        <w:rPr>
          <w:i/>
          <w:color w:val="888888"/>
        </w:rPr>
        <w:t>[Image placeholder]</w:t>
      </w:r>
    </w:p>
    <w:p>
      <w:pPr>
        <w:spacing w:before="80" w:after="80"/>
        <w:shd w:fill="E8E8E8" w:val="clear"/>
      </w:pPr>
      <w:r>
        <w:rPr>
          <w:i/>
          <w:color w:val="444444"/>
          <w:sz w:val="18"/>
        </w:rPr>
        <w:t>Speaker Notes: Rating architecture and process</w:t>
        <w:br/>
        <w:t>This section gives an overview of the rating process and rating architecture of Guidewire Rating Management The next two sections cover the configuration of:</w:t>
        <w:br/>
        <w:t>The Cost entity that stores the premiums and other monetary amount of the policy</w:t>
        <w:br/>
        <w:t>The Transaction entity that tracks the changes in costs</w:t>
      </w:r>
    </w:p>
    <w:p>
      <w:pPr>
        <w:pStyle w:val="Heading3"/>
      </w:pPr>
      <w:r>
        <w:rPr>
          <w:sz w:val="24"/>
        </w:rPr>
        <w:t>Slide 4/28: (Untitled)</w:t>
      </w:r>
    </w:p>
    <w:p>
      <w:r>
        <w:rPr>
          <w:i/>
          <w:color w:val="888888"/>
        </w:rPr>
        <w:t>[Image placeholder]</w:t>
      </w:r>
    </w:p>
    <w:p>
      <w:pPr>
        <w:spacing w:before="80" w:after="80"/>
        <w:shd w:fill="E8E8E8" w:val="clear"/>
      </w:pPr>
      <w:r>
        <w:rPr>
          <w:i/>
          <w:color w:val="444444"/>
          <w:sz w:val="18"/>
        </w:rPr>
        <w:t>Speaker Notes: Rating process overview</w:t>
        <w:br/>
        <w:t>When a policy is quoted, PolicyCenter calls the rating engine to obtain the individual costs and calculate the premium. The Rating engine first calls the PCRatingPlugin which instantiates the LOB specific rating class, if you have Guidewire Rating Management configured for that LOB. For example, PARatingEngine is instantiated for a Personal Auto policy- PARatingEngine.gs calculates the premium by using the methods defined in the AbstractRatingEngine and the CostData class.  In the base application, only the Personal Auto and Commercial Property lines of business have their own rating engine configured using Guidewire Rating Management.  PolicyCenter default configuration provides two implementations of IRatingPlugin.  SysTableRatingPlugimgs and PCRatingPlugin-gs.  The SysTableRatingPlugin has a default rating engine for all LOBs- PCRatingPlugin has a rating engine for PA  (PARatingEngine) and CP ( CPRatingEngine) which uses the rate tables to lookup rate factors-</w:t>
        <w:br/>
        <w:t>This lesson assumes that in case of a Personal Auto line of business you have the Rating Management license, and the default rating engine is configured to use the PCRatingPlugin-gs.</w:t>
      </w:r>
    </w:p>
    <w:p>
      <w:pPr>
        <w:pStyle w:val="Heading3"/>
      </w:pPr>
      <w:r>
        <w:rPr>
          <w:sz w:val="24"/>
        </w:rPr>
        <w:t>Slide 5/28: (Untitled)</w:t>
      </w:r>
    </w:p>
    <w:p>
      <w:r>
        <w:rPr>
          <w:i/>
          <w:color w:val="888888"/>
        </w:rPr>
        <w:t>[Image placeholder]</w:t>
      </w:r>
    </w:p>
    <w:p>
      <w:pPr>
        <w:spacing w:before="80" w:after="80"/>
        <w:shd w:fill="E8E8E8" w:val="clear"/>
      </w:pPr>
      <w:r>
        <w:rPr>
          <w:i/>
          <w:color w:val="444444"/>
          <w:sz w:val="18"/>
        </w:rPr>
        <w:t>Speaker Notes: Rating architecture</w:t>
        <w:br/>
        <w:t>The diagram shows the major components involved in the rating process using the Guidewire Rating Management. A Rate book consists of data from rate tables and rate routines- Rate routines use parameter sets which provides the data needed for calculations in the algorithm. The line specific Rating Engine class creates CostData objects in memory, looks up rate factors from rate books, populates the parameter set map to be passed in to the rate routines and executes the rate routines to store the calculated amount in the CostData objects temporarily- Eventually, the rating engine merges the CostData objects to create the Costs, which are persisted in the database- These components will be discussed in different lessons: The configuration of the basic cost structure and transaction entities is discussed in this lesson and CostData objects in the next lesson- The configuration of rating engines, rate routines and parameter sets at the Gosu level will be covered in other lessons later in this course- The details about rate books, rate tables, rate routines and parameter sets at the IJI level are covered in the PolicyCenter Rating Introduction Course-</w:t>
      </w:r>
    </w:p>
    <w:p>
      <w:pPr>
        <w:pStyle w:val="Heading3"/>
      </w:pPr>
      <w:r>
        <w:rPr>
          <w:sz w:val="24"/>
        </w:rPr>
        <w:t>Slide 6/28: (Untitled)</w:t>
      </w:r>
    </w:p>
    <w:p>
      <w:r>
        <w:rPr>
          <w:i/>
          <w:color w:val="888888"/>
        </w:rPr>
        <w:t>[Image placeholder]</w:t>
      </w:r>
    </w:p>
    <w:p>
      <w:pPr>
        <w:pStyle w:val="Heading3"/>
      </w:pPr>
      <w:r>
        <w:rPr>
          <w:sz w:val="24"/>
        </w:rPr>
        <w:t>Slide 7/28: (Untitled)</w:t>
      </w:r>
    </w:p>
    <w:p>
      <w:pPr>
        <w:pStyle w:val="Heading3"/>
      </w:pPr>
      <w:r>
        <w:rPr>
          <w:sz w:val="24"/>
        </w:rPr>
        <w:t>Slide 8/28: (Untitled)</w:t>
      </w:r>
    </w:p>
    <w:p>
      <w:r>
        <w:rPr>
          <w:i/>
          <w:color w:val="888888"/>
        </w:rPr>
        <w:t>[Image placeholder]</w:t>
      </w:r>
    </w:p>
    <w:p>
      <w:pPr>
        <w:spacing w:before="80" w:after="80"/>
        <w:shd w:fill="E8E8E8" w:val="clear"/>
      </w:pPr>
      <w:r>
        <w:rPr>
          <w:i/>
          <w:color w:val="444444"/>
          <w:sz w:val="18"/>
        </w:rPr>
        <w:t>Speaker Notes: Costs</w:t>
        <w:br/>
        <w:t>The Cost entity stores the premium and other monetary amounts (e.g. tax) of the Policy. Cost is the basic building blocks for rating and it is important to configure the cost structure properly in the beginner so that it is easier to maintain and extend it-</w:t>
      </w:r>
    </w:p>
    <w:p>
      <w:pPr>
        <w:pStyle w:val="Heading3"/>
      </w:pPr>
      <w:r>
        <w:rPr>
          <w:sz w:val="24"/>
        </w:rPr>
        <w:t>Slide 9/28: (Untitled)</w:t>
      </w:r>
    </w:p>
    <w:p>
      <w:r>
        <w:rPr>
          <w:i/>
          <w:color w:val="888888"/>
        </w:rPr>
        <w:t>[Image placeholder]</w:t>
      </w:r>
    </w:p>
    <w:p>
      <w:pPr>
        <w:spacing w:before="80" w:after="80"/>
        <w:shd w:fill="E8E8E8" w:val="clear"/>
      </w:pPr>
      <w:r>
        <w:rPr>
          <w:i/>
          <w:color w:val="444444"/>
          <w:sz w:val="18"/>
        </w:rPr>
        <w:t>Speaker Notes: What is a cost?</w:t>
        <w:br/>
        <w:t>Costs attach directly to things that have a price, such as a personal vehicle coverable or a personal auto coverage.</w:t>
      </w:r>
    </w:p>
    <w:p>
      <w:pPr>
        <w:pStyle w:val="Heading3"/>
      </w:pPr>
      <w:r>
        <w:rPr>
          <w:sz w:val="24"/>
        </w:rPr>
        <w:t>Slide 10/28: (Untitled)</w:t>
      </w:r>
    </w:p>
    <w:p>
      <w:r>
        <w:rPr>
          <w:i/>
          <w:color w:val="888888"/>
        </w:rPr>
        <w:t>[Image placeholder]</w:t>
      </w:r>
    </w:p>
    <w:p>
      <w:pPr>
        <w:spacing w:before="80" w:after="80"/>
        <w:shd w:fill="E8E8E8" w:val="clear"/>
      </w:pPr>
      <w:r>
        <w:rPr>
          <w:i/>
          <w:color w:val="444444"/>
          <w:sz w:val="18"/>
        </w:rPr>
        <w:t>Speaker Notes: Cost entities</w:t>
        <w:br/>
        <w:t>Costs are created when a policy is rated, and a quote is generated. Each line defines subtypes of the line-specific costs- For example, PACost and BOPCost are the root entities for Personal Auto and Business Owners lines.  Each of these entities implements the Cost delegate. The line then defines further subtypes of that line-specific cost, such as</w:t>
        <w:br/>
        <w:t>PersonalVehicleCovCost, that include additional properties and links into the policy graph.</w:t>
      </w:r>
    </w:p>
    <w:p>
      <w:pPr>
        <w:pStyle w:val="Heading3"/>
      </w:pPr>
      <w:r>
        <w:rPr>
          <w:sz w:val="24"/>
        </w:rPr>
        <w:t>Slide 11/28: (Untitled)</w:t>
      </w:r>
    </w:p>
    <w:p>
      <w:r>
        <w:rPr>
          <w:i/>
          <w:color w:val="888888"/>
        </w:rPr>
        <w:t>[Image placeholder]</w:t>
      </w:r>
    </w:p>
    <w:p>
      <w:pPr>
        <w:spacing w:before="80" w:after="80"/>
        <w:shd w:fill="E8E8E8" w:val="clear"/>
      </w:pPr>
      <w:r>
        <w:rPr>
          <w:i/>
          <w:color w:val="444444"/>
          <w:sz w:val="18"/>
        </w:rPr>
        <w:t>Speaker Notes: Line specific costs</w:t>
        <w:br/>
        <w:t>Each line of business has a set of line specific cost entities-</w:t>
        <w:br/>
        <w:t>In the example, it lists some cost entities for the Business Owners policy line. Each cost entity is used to store the premium for the corresponding cost bearing objects, taxes, and fees. The</w:t>
        <w:br/>
        <w:t>BOPBuildingCovCost entity is associated with the coverage entity BOPBuildingCou</w:t>
      </w:r>
    </w:p>
    <w:p>
      <w:pPr>
        <w:pStyle w:val="Heading3"/>
      </w:pPr>
      <w:r>
        <w:rPr>
          <w:sz w:val="24"/>
        </w:rPr>
        <w:t>Slide 12/28: (Untitled)</w:t>
      </w:r>
    </w:p>
    <w:p>
      <w:r>
        <w:rPr>
          <w:i/>
          <w:color w:val="888888"/>
        </w:rPr>
        <w:t>[Image placeholder]</w:t>
      </w:r>
    </w:p>
    <w:p>
      <w:pPr>
        <w:spacing w:before="80" w:after="80"/>
        <w:shd w:fill="E8E8E8" w:val="clear"/>
      </w:pPr>
      <w:r>
        <w:rPr>
          <w:i/>
          <w:color w:val="444444"/>
          <w:sz w:val="18"/>
        </w:rPr>
        <w:t>Speaker Notes: Create a new cost entity</w:t>
        <w:br/>
        <w:t>It is important to add the coverable to the cost when the cost is tied to both a coverage and a coverable even if the cost is for the line coverage and the coverable is not on the line-</w:t>
        <w:br/>
        <w:t>PersonalAutoCovCost has a FK to both the PersonalAutoCov (line coverage) and the PersonalVehicle  (coverable not on the line) because Personal Auto rates line coverage per vehicle. General Liability has a similarexample where the line coverages rate per exposure-</w:t>
        <w:br/>
        <w:t>When adding columns (properties) to a cost entity, determine whether to add it to the super type or the subtype based on where the information is needed. For example,  the foreign key to BusinessVehcile is on BACost, not on the subtypes (BAStateCovCost or BAStateCovVehicleCost)  because this information is needed to calculate the premium  for the line coverage and for each Jurisdiction.  The RatedOrder column on BACost is another good example to identify the premium type for each cost used to calculate the sub total premiums, such as minimum premium.  Using a typekey to identify a cost in this way is recommended vs- grouping the subtypes in hierarchies by inheritance.</w:t>
      </w:r>
    </w:p>
    <w:p>
      <w:pPr>
        <w:pStyle w:val="Heading3"/>
      </w:pPr>
      <w:r>
        <w:rPr>
          <w:sz w:val="24"/>
        </w:rPr>
        <w:t>Slide 13/28: (Untitled)</w:t>
      </w:r>
    </w:p>
    <w:p>
      <w:r>
        <w:rPr>
          <w:i/>
          <w:color w:val="888888"/>
        </w:rPr>
        <w:t>[Image placeholder]</w:t>
      </w:r>
    </w:p>
    <w:p>
      <w:pPr>
        <w:spacing w:before="80" w:after="80"/>
        <w:shd w:fill="E8E8E8" w:val="clear"/>
      </w:pPr>
      <w:r>
        <w:rPr>
          <w:i/>
          <w:color w:val="444444"/>
          <w:sz w:val="18"/>
        </w:rPr>
        <w:t>Speaker Notes: Cost delegate fields</w:t>
        <w:br/>
        <w:t>There are three major sets of columns from the Cost delegate-</w:t>
        <w:br/>
        <w:t>Standard — values calculated by rating engine.</w:t>
        <w:br/>
        <w:t>Override — values from user entered data for rating override if it is turned on.</w:t>
        <w:br/>
        <w:t>Actual — standard values or override values if override is entered.</w:t>
        <w:br/>
        <w:t>Each set of data includes:</w:t>
        <w:br/>
        <w:t>Base Rate — rate found from rate table lookup or a table lookup and other calculations.</w:t>
        <w:br/>
        <w:t>Adjusted Rate — rate after applying discounts or other adjustments to the base rate.</w:t>
        <w:br/>
        <w:t>Term Amount — unprorated amount for the policy term</w:t>
        <w:br/>
        <w:t>Amount — the current amount of money for the effective period. If the cost is prorated, the prorated amount.</w:t>
        <w:br/>
        <w:t>The user cannot enter any overrides without rating a policy first After viewing the results from a quote, they can decide to apply overrides where it is allowed.</w:t>
      </w:r>
    </w:p>
    <w:p>
      <w:pPr>
        <w:pStyle w:val="Heading3"/>
      </w:pPr>
      <w:r>
        <w:rPr>
          <w:sz w:val="24"/>
        </w:rPr>
        <w:t>Slide 14/28: (Untitled)</w:t>
      </w:r>
    </w:p>
    <w:p>
      <w:r>
        <w:rPr>
          <w:i/>
          <w:color w:val="888888"/>
        </w:rPr>
        <w:t>[Image placeholder]</w:t>
      </w:r>
    </w:p>
    <w:p>
      <w:pPr>
        <w:spacing w:before="80" w:after="80"/>
        <w:shd w:fill="E8E8E8" w:val="clear"/>
      </w:pPr>
      <w:r>
        <w:rPr>
          <w:i/>
          <w:color w:val="444444"/>
          <w:sz w:val="18"/>
        </w:rPr>
        <w:t>Speaker Notes: PolicyPeriod fields for costs</w:t>
        <w:br/>
        <w:t>After rating, PolicyCenter calculates these total value fields by adding up the underlying costs or transactions. PolicyCenter stores these calculated total value fields for better performance- For example, you can use these fields to display the total premium for a submission. If you use the total value fields, PolicyCenter does not need to recalculate the amount</w:t>
      </w:r>
    </w:p>
    <w:p>
      <w:pPr>
        <w:pStyle w:val="Heading3"/>
      </w:pPr>
      <w:r>
        <w:rPr>
          <w:sz w:val="24"/>
        </w:rPr>
        <w:t>Slide 15/28: (Untitled)</w:t>
      </w:r>
    </w:p>
    <w:p>
      <w:r>
        <w:rPr>
          <w:i/>
          <w:color w:val="888888"/>
        </w:rPr>
        <w:t>[Image placeholder]</w:t>
      </w:r>
    </w:p>
    <w:p>
      <w:pPr>
        <w:pStyle w:val="Heading3"/>
      </w:pPr>
      <w:r>
        <w:rPr>
          <w:sz w:val="24"/>
        </w:rPr>
        <w:t>Slide 16/28: (Untitled)</w:t>
      </w:r>
    </w:p>
    <w:p>
      <w:pPr>
        <w:pStyle w:val="Heading3"/>
      </w:pPr>
      <w:r>
        <w:rPr>
          <w:sz w:val="24"/>
        </w:rPr>
        <w:t>Slide 17/28: (Untitled)</w:t>
      </w:r>
    </w:p>
    <w:p>
      <w:r>
        <w:rPr>
          <w:i/>
          <w:color w:val="888888"/>
        </w:rPr>
        <w:t>[Image placeholder]</w:t>
      </w:r>
    </w:p>
    <w:p>
      <w:pPr>
        <w:spacing w:before="80" w:after="80"/>
        <w:shd w:fill="E8E8E8" w:val="clear"/>
      </w:pPr>
      <w:r>
        <w:rPr>
          <w:i/>
          <w:color w:val="444444"/>
          <w:sz w:val="18"/>
        </w:rPr>
        <w:t>Speaker Notes: Transactions</w:t>
        <w:br/>
        <w:t>The details of financial transactions are covered in the Costs and Transactions lesson of the PolicyCenter Rating Introduction course- This lesson will briefly discuss the configuration of the Transaction entity.</w:t>
      </w:r>
    </w:p>
    <w:p>
      <w:pPr>
        <w:pStyle w:val="Heading3"/>
      </w:pPr>
      <w:r>
        <w:rPr>
          <w:sz w:val="24"/>
        </w:rPr>
        <w:t>Slide 18/28: (Untitled)</w:t>
      </w:r>
    </w:p>
    <w:p>
      <w:r>
        <w:rPr>
          <w:i/>
          <w:color w:val="888888"/>
        </w:rPr>
        <w:t>[Image placeholder]</w:t>
      </w:r>
    </w:p>
    <w:p>
      <w:pPr>
        <w:spacing w:before="80" w:after="80"/>
        <w:shd w:fill="E8E8E8" w:val="clear"/>
      </w:pPr>
      <w:r>
        <w:rPr>
          <w:i/>
          <w:color w:val="444444"/>
          <w:sz w:val="18"/>
        </w:rPr>
        <w:t>Speaker Notes: What is a Transaction?</w:t>
        <w:br/>
        <w:t>PolicyCenter displays the details of transactions over the life of the policy on the Financial Transactions page.</w:t>
        <w:br/>
        <w:br/>
        <w:t>Transactions are more useful for billing purposes. For example, when a policy is issued for the first time  (Submission), the total transactions (which are the same as the total premium, taxes and fees because there is no previous version) are sent to the billing system to bill the insured. After a while, a policy change is issued and results in changes in the costs to some coverages and the taxes, the transactions (which are the difference from the previously billed amount)  are sent to the billing system so that the carrier can bill the insured the additional amount or issue a refund.</w:t>
      </w:r>
    </w:p>
    <w:p>
      <w:pPr>
        <w:pStyle w:val="Heading3"/>
      </w:pPr>
      <w:r>
        <w:rPr>
          <w:sz w:val="24"/>
        </w:rPr>
        <w:t>Slide 19/28: (Untitled)</w:t>
      </w:r>
    </w:p>
    <w:p>
      <w:r>
        <w:rPr>
          <w:i/>
          <w:color w:val="888888"/>
        </w:rPr>
        <w:t>[Image placeholder]</w:t>
      </w:r>
    </w:p>
    <w:p>
      <w:pPr>
        <w:spacing w:before="80" w:after="80"/>
        <w:shd w:fill="E8E8E8" w:val="clear"/>
      </w:pPr>
      <w:r>
        <w:rPr>
          <w:i/>
          <w:color w:val="444444"/>
          <w:sz w:val="18"/>
        </w:rPr>
        <w:t>Speaker Notes: Transaction entity</w:t>
        <w:br/>
        <w:t xml:space="preserve">Guidewire has an accelerator called New Product Generator and it is recommended to be used to create new policy lines. It creates all the basic entities, such &lt;LOB&gt;Cost and &lt;LOB&gt;Transaction- It handles the relationship among the entities properly To configure &lt;LOB&gt;Transaction for a new policy line manually: </w:t>
        <w:br/>
        <w:t>1.Create a new &lt;LOB&gt;Transaction entity</w:t>
        <w:br/>
        <w:t>Add a foreign key to &lt;LOB&gt;Cost, the parent cost entity for the line</w:t>
        <w:br/>
        <w:t>Implement the Transaction delelgate</w:t>
        <w:br/>
        <w:t xml:space="preserve"> Implement other necessary interfaces </w:t>
        <w:br/>
        <w:t>2.In&lt;LOB&gt;Cost</w:t>
        <w:br/>
        <w:t>Add an array of type</w:t>
        <w:br/>
        <w:t>&lt;LOB&gt;Transaction</w:t>
        <w:br/>
        <w:t>Set attribute. getterScriptability = "doesNotExist"</w:t>
        <w:br/>
        <w:t>Normally the cost and the associated coverage information for each transaction is obtained via the foreign key to&lt;LOB&gt;Cost on the Transaction- To prevent unnecessary and incorrect access to the transaction information from the Cost entities, it is important to set the getterScriptability attribute on the array field of &lt;LOB&gt;Transactions in &lt;LOB&gt;Cost to UdoesNotExist"- Please refer to the OOTB transaction entities for reference, for example,  BATransaction.eti,  PATransaction-eti, etc.</w:t>
      </w:r>
    </w:p>
    <w:p>
      <w:pPr>
        <w:pStyle w:val="Heading3"/>
      </w:pPr>
      <w:r>
        <w:rPr>
          <w:sz w:val="24"/>
        </w:rPr>
        <w:t>Slide 20/28: (Untitled)</w:t>
      </w:r>
    </w:p>
    <w:p>
      <w:r>
        <w:rPr>
          <w:i/>
          <w:color w:val="888888"/>
        </w:rPr>
        <w:t>[Image placeholder]</w:t>
      </w:r>
    </w:p>
    <w:p>
      <w:pPr>
        <w:pStyle w:val="Heading3"/>
      </w:pPr>
      <w:r>
        <w:rPr>
          <w:sz w:val="24"/>
        </w:rPr>
        <w:t>Slide 21/28: (Untitled)</w:t>
      </w:r>
    </w:p>
    <w:p>
      <w:pPr>
        <w:pStyle w:val="Heading3"/>
      </w:pPr>
      <w:r>
        <w:rPr>
          <w:sz w:val="24"/>
        </w:rPr>
        <w:t>Slide 22/28: (Untitled)</w:t>
      </w:r>
    </w:p>
    <w:p>
      <w:r>
        <w:rPr>
          <w:i/>
          <w:color w:val="888888"/>
        </w:rPr>
        <w:t>[Image placeholder]</w:t>
      </w:r>
    </w:p>
    <w:p>
      <w:pPr>
        <w:pStyle w:val="Heading3"/>
      </w:pPr>
      <w:r>
        <w:rPr>
          <w:sz w:val="24"/>
        </w:rPr>
        <w:t>Slide 23/28: (Untitled)</w:t>
      </w:r>
    </w:p>
    <w:p>
      <w:r>
        <w:rPr>
          <w:i/>
          <w:color w:val="888888"/>
        </w:rPr>
        <w:t>[Image placeholder]</w:t>
      </w:r>
    </w:p>
    <w:p>
      <w:pPr>
        <w:pStyle w:val="Heading3"/>
      </w:pPr>
      <w:r>
        <w:rPr>
          <w:sz w:val="24"/>
        </w:rPr>
        <w:t>Slide 24/28: (Untitled)</w:t>
      </w:r>
    </w:p>
    <w:p>
      <w:r>
        <w:rPr>
          <w:i/>
          <w:color w:val="888888"/>
        </w:rPr>
        <w:t>[Image placeholder]</w:t>
      </w:r>
    </w:p>
    <w:p>
      <w:pPr>
        <w:pStyle w:val="Heading3"/>
      </w:pPr>
      <w:r>
        <w:rPr>
          <w:sz w:val="24"/>
        </w:rPr>
        <w:t>Slide 25/28: (Untitled)</w:t>
      </w:r>
    </w:p>
    <w:p>
      <w:r>
        <w:rPr>
          <w:i/>
          <w:color w:val="888888"/>
        </w:rPr>
        <w:t>[Image placeholder]</w:t>
      </w:r>
    </w:p>
    <w:p>
      <w:pPr>
        <w:pStyle w:val="Heading3"/>
      </w:pPr>
      <w:r>
        <w:rPr>
          <w:sz w:val="24"/>
        </w:rPr>
        <w:t>Slide 26/28: (Untitled)</w:t>
      </w:r>
    </w:p>
    <w:p>
      <w:r>
        <w:rPr>
          <w:i/>
          <w:color w:val="888888"/>
        </w:rPr>
        <w:t>[Image placeholder]</w:t>
      </w:r>
    </w:p>
    <w:p>
      <w:pPr>
        <w:pStyle w:val="Heading3"/>
      </w:pPr>
      <w:r>
        <w:rPr>
          <w:sz w:val="24"/>
        </w:rPr>
        <w:t>Slide 27/28: (Untitled)</w:t>
      </w:r>
    </w:p>
    <w:p>
      <w:r>
        <w:rPr>
          <w:i/>
          <w:color w:val="888888"/>
        </w:rPr>
        <w:t>[Image placeholder]</w:t>
      </w:r>
    </w:p>
    <w:p>
      <w:pPr>
        <w:pStyle w:val="Heading3"/>
      </w:pPr>
      <w:r>
        <w:rPr>
          <w:sz w:val="24"/>
        </w:rPr>
        <w:t>Slide 28/28: (Untitled)</w:t>
      </w:r>
    </w:p>
    <w:p>
      <w:r>
        <w:rPr>
          <w:i/>
          <w:color w:val="888888"/>
        </w:rPr>
        <w:t>[Image placeholder]</w:t>
      </w:r>
    </w:p>
    <w:p/>
    <w:p>
      <w:pPr>
        <w:spacing w:before="240"/>
        <w:jc w:val="center"/>
      </w:pPr>
      <w:r>
        <w:rPr>
          <w:i/>
          <w:color w:val="999999"/>
          <w:sz w:val="16"/>
        </w:rPr>
        <w:t>--- End of Lesson 1: Configuring Costs and Transactions | 28 slides | 9 videos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