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14: Rating Configuration</w:t>
      </w:r>
    </w:p>
    <w:p>
      <w:pPr>
        <w:pStyle w:val="Heading2"/>
      </w:pPr>
      <w:r>
        <w:rPr>
          <w:color w:val="333333"/>
          <w:sz w:val="28"/>
        </w:rPr>
        <w:t>Lesson 2: Configuring Costs Data Objects</w:t>
      </w:r>
    </w:p>
    <w:p>
      <w:pPr>
        <w:spacing w:after="40"/>
      </w:pPr>
      <w:r>
        <w:rPr>
          <w:i/>
          <w:color w:val="999999"/>
          <w:sz w:val="16"/>
        </w:rPr>
        <w:t>Source: Configuring Costs Data Objects.pptx</w:t>
      </w:r>
    </w:p>
    <w:p>
      <w:pPr>
        <w:pStyle w:val="Heading3"/>
      </w:pPr>
      <w:r>
        <w:t>Video References</w:t>
      </w:r>
    </w:p>
    <w:p>
      <w:pPr>
        <w:pStyle w:val="ListNumber"/>
      </w:pPr>
      <w:r>
        <w:rPr>
          <w:color w:val="0066CC"/>
          <w:sz w:val="20"/>
        </w:rPr>
        <w:t>[Video 1: Ra_Conf_01_01.mp4]</w:t>
      </w:r>
    </w:p>
    <w:p>
      <w:pPr>
        <w:pStyle w:val="ListNumber"/>
      </w:pPr>
      <w:r>
        <w:rPr>
          <w:color w:val="0066CC"/>
          <w:sz w:val="20"/>
        </w:rPr>
        <w:t>[Video 2: Ra_Conf_01_02.mp4]</w:t>
      </w:r>
    </w:p>
    <w:p>
      <w:pPr>
        <w:pStyle w:val="ListNumber"/>
      </w:pPr>
      <w:r>
        <w:rPr>
          <w:color w:val="0066CC"/>
          <w:sz w:val="20"/>
        </w:rPr>
        <w:t>[Video 3: Ra_Conf_01_03.mp4]</w:t>
      </w:r>
    </w:p>
    <w:p>
      <w:pPr>
        <w:pStyle w:val="ListNumber"/>
      </w:pPr>
      <w:r>
        <w:rPr>
          <w:color w:val="0066CC"/>
          <w:sz w:val="20"/>
        </w:rPr>
        <w:t>[Video 4: Ra_Conf_02_01.mp4]</w:t>
      </w:r>
    </w:p>
    <w:p>
      <w:pPr>
        <w:pStyle w:val="ListNumber"/>
      </w:pPr>
      <w:r>
        <w:rPr>
          <w:color w:val="0066CC"/>
          <w:sz w:val="20"/>
        </w:rPr>
        <w:t>[Video 5: Ra_Conf_03_01.mp4]</w:t>
      </w:r>
    </w:p>
    <w:p>
      <w:pPr>
        <w:pStyle w:val="ListNumber"/>
      </w:pPr>
      <w:r>
        <w:rPr>
          <w:color w:val="0066CC"/>
          <w:sz w:val="20"/>
        </w:rPr>
        <w:t>[Video 6: Ra_Conf_04_01.mp4]</w:t>
      </w:r>
    </w:p>
    <w:p>
      <w:pPr>
        <w:pStyle w:val="ListNumber"/>
      </w:pPr>
      <w:r>
        <w:rPr>
          <w:color w:val="0066CC"/>
          <w:sz w:val="20"/>
        </w:rPr>
        <w:t>[Video 7: Ra_Conf_05_01.mp4]</w:t>
      </w:r>
    </w:p>
    <w:p>
      <w:pPr>
        <w:pStyle w:val="ListNumber"/>
      </w:pPr>
      <w:r>
        <w:rPr>
          <w:color w:val="0066CC"/>
          <w:sz w:val="20"/>
        </w:rPr>
        <w:t>[Video 8: Ra_Conf_05_02.mp4]</w:t>
      </w:r>
    </w:p>
    <w:p>
      <w:pPr>
        <w:pStyle w:val="ListNumber"/>
      </w:pPr>
      <w:r>
        <w:rPr>
          <w:color w:val="0066CC"/>
          <w:sz w:val="20"/>
        </w:rPr>
        <w:t>[Video 9: Ra_Conf_05_03.mp4]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pStyle w:val="Heading3"/>
      </w:pPr>
      <w:r>
        <w:rPr>
          <w:sz w:val="24"/>
        </w:rPr>
        <w:t>Slide 4/25: (Untitled)</w:t>
      </w:r>
    </w:p>
    <w:p>
      <w:r>
        <w:rPr>
          <w:i/>
          <w:color w:val="888888"/>
        </w:rPr>
        <w:t>[Image placeholder]</w:t>
      </w:r>
    </w:p>
    <w:p>
      <w:pPr>
        <w:spacing w:before="80" w:after="80"/>
        <w:shd w:fill="E8E8E8" w:val="clear"/>
      </w:pPr>
      <w:r>
        <w:rPr>
          <w:i/>
          <w:color w:val="444444"/>
          <w:sz w:val="18"/>
        </w:rPr>
        <w:t>Speaker Notes: CostData objects</w:t>
        <w:br/>
        <w:t>CostData objects are plain old Gosu objects (POGOs) created by the rating engine to assist in rating and to build up the cost entities- CostData objects are not maintained.  Although the cost and transaction entities define what PolicyCenter maintains the database and describes the results of the rating, it is difficult to write code that directly modifies cost entities. There are subtle aspects to manage such as splitting and merging entities. This interacts with how the PolicyCenter tracks revised entities across effective time. For example, creating or removing additional slice dates or tracking changes are window mode changes.</w:t>
      </w:r>
    </w:p>
    <w:p>
      <w:pPr>
        <w:pStyle w:val="Heading3"/>
      </w:pPr>
      <w:r>
        <w:rPr>
          <w:sz w:val="24"/>
        </w:rPr>
        <w:t>Slide 5/25: (Untitled)</w:t>
      </w:r>
    </w:p>
    <w:p>
      <w:r>
        <w:rPr>
          <w:i/>
          <w:color w:val="888888"/>
        </w:rPr>
        <w:t>[Image placeholder]</w:t>
      </w:r>
    </w:p>
    <w:p>
      <w:pPr>
        <w:pStyle w:val="Heading3"/>
      </w:pPr>
      <w:r>
        <w:rPr>
          <w:sz w:val="24"/>
        </w:rPr>
        <w:t>Slide 6/25: (Untitled)</w:t>
      </w:r>
    </w:p>
    <w:p>
      <w:r>
        <w:rPr>
          <w:i/>
          <w:color w:val="888888"/>
        </w:rPr>
        <w:t>[Image placeholder]</w:t>
      </w:r>
    </w:p>
    <w:p>
      <w:pPr>
        <w:spacing w:before="80" w:after="80"/>
        <w:shd w:fill="E8E8E8" w:val="clear"/>
      </w:pPr>
      <w:r>
        <w:rPr>
          <w:i/>
          <w:color w:val="444444"/>
          <w:sz w:val="18"/>
        </w:rPr>
        <w:t>Speaker Notes: Define a new CostData class</w:t>
        <w:br/>
        <w:t>More details about CostData classes are discussed in the following slides.</w:t>
      </w:r>
    </w:p>
    <w:p>
      <w:pPr>
        <w:pStyle w:val="Heading3"/>
      </w:pPr>
      <w:r>
        <w:rPr>
          <w:sz w:val="24"/>
        </w:rPr>
        <w:t>Slide 7/25: (Untitled)</w:t>
      </w:r>
    </w:p>
    <w:p>
      <w:r>
        <w:rPr>
          <w:i/>
          <w:color w:val="888888"/>
        </w:rPr>
        <w:t>[Image placeholder]</w:t>
      </w:r>
    </w:p>
    <w:p>
      <w:pPr>
        <w:spacing w:before="80" w:after="80"/>
        <w:shd w:fill="E8E8E8" w:val="clear"/>
      </w:pPr>
      <w:r>
        <w:rPr>
          <w:i/>
          <w:color w:val="444444"/>
          <w:sz w:val="18"/>
        </w:rPr>
        <w:t>Speaker Notes: KEYS</w:t>
        <w:br/>
        <w:t>In normal entities, one entity is linked to another using a foreign while CostData objects to another object using a key. In the database column itself, a fixed ID is a numeric value. The PolicyCenter encapsulates the numeric value of the fixed ID and the object entity type into a key object.  Think of the key object as a simple container for the FK.  In the rating context a fixed ID Key object is the most important use of the key class. The PersonalAutoCovCostData class identifies the private variables of the key type,  one for the coverage PersonalAutoCov and the other for the coverable PersonalVehicle-</w:t>
      </w:r>
    </w:p>
    <w:p>
      <w:pPr>
        <w:pStyle w:val="Heading3"/>
      </w:pPr>
      <w:r>
        <w:rPr>
          <w:sz w:val="24"/>
        </w:rPr>
        <w:t>Slide 8/25: (Untitled)</w:t>
      </w:r>
    </w:p>
    <w:p>
      <w:r>
        <w:rPr>
          <w:i/>
          <w:color w:val="888888"/>
        </w:rPr>
        <w:t>[Image placeholder]</w:t>
      </w:r>
    </w:p>
    <w:p>
      <w:pPr>
        <w:spacing w:before="80" w:after="80"/>
        <w:shd w:fill="E8E8E8" w:val="clear"/>
      </w:pPr>
      <w:r>
        <w:rPr>
          <w:i/>
          <w:color w:val="444444"/>
          <w:sz w:val="18"/>
        </w:rPr>
        <w:t>Speaker Notes: Constructors</w:t>
        <w:br/>
        <w:t>Guidewire Best Practices recommends that customers not running in MultiCurrency mode should still use the constructor with the currency argument for their CostData configurations. This will facilitate an easy transition when/if they decide to update the CostData configurations to support MultiCurrency in the future There are constructors that do not have a currency and/or rate cache as a parameter to support backward compatibility- For any type of constructor, you can always add more parameters to set the member variables, such as those in PersonalAutoCovCostData. construct(effDate : Date,  expDate : Date, c Currency, rateCache PolicyPeriodFXRateCache, vehiclelDArg : Key,  covlDArg : Key)</w:t>
      </w:r>
    </w:p>
    <w:p>
      <w:pPr>
        <w:pStyle w:val="Heading3"/>
      </w:pPr>
      <w:r>
        <w:rPr>
          <w:sz w:val="24"/>
        </w:rPr>
        <w:t>Slide 9/25: (Untitled)</w:t>
      </w:r>
    </w:p>
    <w:p>
      <w:r>
        <w:rPr>
          <w:i/>
          <w:color w:val="888888"/>
        </w:rPr>
        <w:t>[Image placeholder]</w:t>
      </w:r>
    </w:p>
    <w:p>
      <w:pPr>
        <w:spacing w:before="80" w:after="80"/>
        <w:shd w:fill="E8E8E8" w:val="clear"/>
      </w:pPr>
      <w:r>
        <w:rPr>
          <w:i/>
          <w:color w:val="444444"/>
          <w:sz w:val="18"/>
        </w:rPr>
        <w:t>Speaker Notes: Merging CostData objects</w:t>
        <w:br/>
        <w:t>After the rating engine generates CostData objects for each line of business, the abstract rating engine merges CostData objects with similar costs- The rating engine considers two CostData objects mergable if they satisfy the following criteria.</w:t>
        <w:br/>
        <w:t>• They have different but adjacent date ranges. For example, the date ranges January 1 through March 15 (end of day) and March 16 through December 31</w:t>
        <w:br/>
        <w:t xml:space="preserve">• They have the same price, i.e., the same value in the TermAmount property. </w:t>
        <w:br/>
        <w:t>• They represent pricing for the same kind of cost for the same thing- For example, for a personal auto coverage CostData object will merge the CostData objects if the objects share the same coverage ID and vehicle ID- This may require checking multiple properties and even properties not directly on the object.</w:t>
        <w:br/>
        <w:br/>
        <w:t>In the example above, each row represents one CostData object The CostData object for liability coverage for auto 1 already exists during the policy change transaction. The PolicyCenter merges the CostData objects of both the versions of the policy if they are on the same slice and for the same type of coverage. In this example, they are considered to be on the same slice.</w:t>
      </w:r>
    </w:p>
    <w:p>
      <w:pPr>
        <w:pStyle w:val="Heading3"/>
      </w:pPr>
      <w:r>
        <w:rPr>
          <w:sz w:val="24"/>
        </w:rPr>
        <w:t>Slide 10/25: (Untitled)</w:t>
      </w:r>
    </w:p>
    <w:p>
      <w:r>
        <w:rPr>
          <w:i/>
          <w:color w:val="888888"/>
        </w:rPr>
        <w:t>[Image placeholder]</w:t>
      </w:r>
    </w:p>
    <w:p>
      <w:pPr>
        <w:spacing w:before="80" w:after="80"/>
        <w:shd w:fill="E8E8E8" w:val="clear"/>
      </w:pPr>
      <w:r>
        <w:rPr>
          <w:i/>
          <w:color w:val="444444"/>
          <w:sz w:val="18"/>
        </w:rPr>
        <w:t>Speaker Notes: KeyValues()</w:t>
        <w:br/>
        <w:t>Each CostData class must help the rating engine determine whether two CostData objects are the same.. The KeyValues() function provides a list of values that collectively identifies which properties to compare for two CostData objects- Generally, that includes matching subtype-specific columns that uniquely identify the set of related costs and the object whose price is represented. NOTE: Do not confuse KeyValues with key objects that contain a numeric fixed ID value and an entity type. The fixed ID key objects define how CostData objects store a link to a revised object within the policy graph. Carefully consider how the KeyValues method is implemented . Errors in this method may corrupt rating data during the merge process.</w:t>
      </w:r>
    </w:p>
    <w:p>
      <w:pPr>
        <w:pStyle w:val="Heading3"/>
      </w:pPr>
      <w:r>
        <w:rPr>
          <w:sz w:val="24"/>
        </w:rPr>
        <w:t>Slide 11/25: (Untitled)</w:t>
      </w:r>
    </w:p>
    <w:p>
      <w:r>
        <w:rPr>
          <w:i/>
          <w:color w:val="888888"/>
        </w:rPr>
        <w:t>[Image placeholder]</w:t>
      </w:r>
    </w:p>
    <w:p>
      <w:pPr>
        <w:spacing w:before="80" w:after="80"/>
        <w:shd w:fill="E8E8E8" w:val="clear"/>
      </w:pPr>
      <w:r>
        <w:rPr>
          <w:i/>
          <w:color w:val="444444"/>
          <w:sz w:val="18"/>
        </w:rPr>
        <w:t>Speaker Notes: setSpecificFieIdsOnCost()</w:t>
        <w:br/>
        <w:t>After a line of business creates its CostData objects, the abstract rating engine creates new cost entities or updates existing cost entities. Subtypes must implement the setSpecificFieldsOnCost()  function to set any subtype- specific field on the newly- created (or pre-existing)  cost entity that the CostData is being copied to. The CostData base class will manage the replication of all the common fields (e.g.  amounts and rates)- This method populates any fields that are unique to this subtype, such as FKs to coverages values.</w:t>
      </w:r>
    </w:p>
    <w:p>
      <w:pPr>
        <w:pStyle w:val="Heading3"/>
      </w:pPr>
      <w:r>
        <w:rPr>
          <w:sz w:val="24"/>
        </w:rPr>
        <w:t>Slide 12/25: (Untitled)</w:t>
      </w:r>
    </w:p>
    <w:p>
      <w:r>
        <w:rPr>
          <w:i/>
          <w:color w:val="888888"/>
        </w:rPr>
        <w:t>[Image placeholder]</w:t>
      </w:r>
    </w:p>
    <w:p>
      <w:pPr>
        <w:spacing w:before="80" w:after="80"/>
        <w:shd w:fill="E8E8E8" w:val="clear"/>
      </w:pPr>
      <w:r>
        <w:rPr>
          <w:i/>
          <w:color w:val="444444"/>
          <w:sz w:val="18"/>
        </w:rPr>
        <w:t>Speaker Notes: Cost Version List</w:t>
        <w:br/>
        <w:t>A Cost VersionList is a set of cost rows that represent the cost for the same thing.  Each row represents a different date range, and the price for that date range. For example, for a PersonalAutoCovCostData object, the getVersionedCosts() method returns a version list that represents all of the PersonalAutoCovCost entity instances for the same vehicle.</w:t>
      </w:r>
    </w:p>
    <w:p>
      <w:pPr>
        <w:pStyle w:val="Heading3"/>
      </w:pPr>
      <w:r>
        <w:rPr>
          <w:sz w:val="24"/>
        </w:rPr>
        <w:t>Slide 13/25: (Untitled)</w:t>
      </w:r>
    </w:p>
    <w:p>
      <w:r>
        <w:rPr>
          <w:i/>
          <w:color w:val="888888"/>
        </w:rPr>
        <w:t>[Image placeholder]</w:t>
      </w:r>
    </w:p>
    <w:p>
      <w:pPr>
        <w:spacing w:before="80" w:after="80"/>
        <w:shd w:fill="E8E8E8" w:val="clear"/>
      </w:pPr>
      <w:r>
        <w:rPr>
          <w:i/>
          <w:color w:val="444444"/>
          <w:sz w:val="18"/>
        </w:rPr>
        <w:t>Speaker Notes: getVersionedCosts()</w:t>
        <w:br/>
        <w:t>This is the most complicated function that a CostData subclass must implement- It is complicated because it requires careful application of knowledge about the PolicyCenter revisioning system. The calling code expects to receive a list with only one version listed, or an empty list if no existing cost entities match this CostData object.</w:t>
        <w:br/>
        <w:t>A general approach for the getVersionedCosts method is to first get a version list reference for the relevant object that has a cost. If the CostData class has an associated key member field, it is easy to use the key to find the matching version list.</w:t>
      </w:r>
    </w:p>
    <w:p>
      <w:pPr>
        <w:pStyle w:val="Heading3"/>
      </w:pPr>
      <w:r>
        <w:rPr>
          <w:sz w:val="24"/>
        </w:rPr>
        <w:t>Slide 14/25: (Untitled)</w:t>
      </w:r>
    </w:p>
    <w:p>
      <w:r>
        <w:rPr>
          <w:i/>
          <w:color w:val="888888"/>
        </w:rPr>
        <w:t>[Image placeholder]</w:t>
      </w:r>
    </w:p>
    <w:p>
      <w:pPr>
        <w:pStyle w:val="Heading3"/>
      </w:pPr>
      <w:r>
        <w:rPr>
          <w:sz w:val="24"/>
        </w:rPr>
        <w:t>Slide 15/25: (Untitled)</w:t>
      </w:r>
    </w:p>
    <w:p>
      <w:pPr>
        <w:pStyle w:val="Heading3"/>
      </w:pPr>
      <w:r>
        <w:rPr>
          <w:sz w:val="24"/>
        </w:rPr>
        <w:t>Slide 16/25: (Untitled)</w:t>
      </w:r>
    </w:p>
    <w:p>
      <w:r>
        <w:rPr>
          <w:i/>
          <w:color w:val="888888"/>
        </w:rPr>
        <w:t>[Image placeholder]</w:t>
      </w:r>
    </w:p>
    <w:p>
      <w:pPr>
        <w:pStyle w:val="Heading3"/>
      </w:pPr>
      <w:r>
        <w:rPr>
          <w:sz w:val="24"/>
        </w:rPr>
        <w:t>Slide 17/25: (Untitled)</w:t>
      </w:r>
    </w:p>
    <w:p>
      <w:r>
        <w:rPr>
          <w:i/>
          <w:color w:val="888888"/>
        </w:rPr>
        <w:t>[Image placeholder]</w:t>
      </w:r>
    </w:p>
    <w:p>
      <w:pPr>
        <w:pStyle w:val="Heading3"/>
      </w:pPr>
      <w:r>
        <w:rPr>
          <w:sz w:val="24"/>
        </w:rPr>
        <w:t>Slide 18/25: (Untitled)</w:t>
      </w:r>
    </w:p>
    <w:p>
      <w:r>
        <w:rPr>
          <w:i/>
          <w:color w:val="888888"/>
        </w:rPr>
        <w:t>[Image placeholder]</w:t>
      </w:r>
    </w:p>
    <w:p>
      <w:pPr>
        <w:pStyle w:val="Heading3"/>
      </w:pPr>
      <w:r>
        <w:rPr>
          <w:sz w:val="24"/>
        </w:rPr>
        <w:t>Slide 19/25: (Untitled)</w:t>
      </w:r>
    </w:p>
    <w:p>
      <w:r>
        <w:rPr>
          <w:i/>
          <w:color w:val="888888"/>
        </w:rPr>
        <w:t>[Image placeholder]</w:t>
      </w:r>
    </w:p>
    <w:p>
      <w:pPr>
        <w:pStyle w:val="Heading3"/>
      </w:pPr>
      <w:r>
        <w:rPr>
          <w:sz w:val="24"/>
        </w:rPr>
        <w:t>Slide 20/25: (Untitled)</w:t>
      </w:r>
    </w:p>
    <w:p>
      <w:r>
        <w:rPr>
          <w:i/>
          <w:color w:val="888888"/>
        </w:rPr>
        <w:t>[Image placeholder]</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
      <w:pPr>
        <w:spacing w:before="240"/>
        <w:jc w:val="center"/>
      </w:pPr>
      <w:r>
        <w:rPr>
          <w:i/>
          <w:color w:val="999999"/>
          <w:sz w:val="16"/>
        </w:rPr>
        <w:t>--- End of Lesson 2: Configuring Costs Data Objects | 25 slides | 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