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14: Rating Configuration</w:t>
      </w:r>
    </w:p>
    <w:p>
      <w:pPr>
        <w:pStyle w:val="Heading2"/>
      </w:pPr>
      <w:r>
        <w:rPr>
          <w:color w:val="333333"/>
          <w:sz w:val="28"/>
        </w:rPr>
        <w:t>Lesson 4: Rating maintenance Configuration</w:t>
      </w:r>
    </w:p>
    <w:p>
      <w:pPr>
        <w:spacing w:after="40"/>
      </w:pPr>
      <w:r>
        <w:rPr>
          <w:i/>
          <w:color w:val="999999"/>
          <w:sz w:val="16"/>
        </w:rPr>
        <w:t>Source: Rating maintenance Configuration.pptx</w:t>
      </w:r>
    </w:p>
    <w:p>
      <w:pPr>
        <w:pStyle w:val="Heading3"/>
      </w:pPr>
      <w:r>
        <w:t>Video References</w:t>
      </w:r>
    </w:p>
    <w:p>
      <w:pPr>
        <w:pStyle w:val="ListNumber"/>
      </w:pPr>
      <w:r>
        <w:rPr>
          <w:color w:val="0066CC"/>
          <w:sz w:val="20"/>
        </w:rPr>
        <w:t>[Video 1: Ra_Conf_01_01.mp4]</w:t>
      </w:r>
    </w:p>
    <w:p>
      <w:pPr>
        <w:pStyle w:val="ListNumber"/>
      </w:pPr>
      <w:r>
        <w:rPr>
          <w:color w:val="0066CC"/>
          <w:sz w:val="20"/>
        </w:rPr>
        <w:t>[Video 2: Ra_Conf_01_02.mp4]</w:t>
      </w:r>
    </w:p>
    <w:p>
      <w:pPr>
        <w:pStyle w:val="ListNumber"/>
      </w:pPr>
      <w:r>
        <w:rPr>
          <w:color w:val="0066CC"/>
          <w:sz w:val="20"/>
        </w:rPr>
        <w:t>[Video 3: Ra_Conf_01_03.mp4]</w:t>
      </w:r>
    </w:p>
    <w:p>
      <w:pPr>
        <w:pStyle w:val="ListNumber"/>
      </w:pPr>
      <w:r>
        <w:rPr>
          <w:color w:val="0066CC"/>
          <w:sz w:val="20"/>
        </w:rPr>
        <w:t>[Video 4: Ra_Conf_02_01.mp4]</w:t>
      </w:r>
    </w:p>
    <w:p>
      <w:pPr>
        <w:pStyle w:val="ListNumber"/>
      </w:pPr>
      <w:r>
        <w:rPr>
          <w:color w:val="0066CC"/>
          <w:sz w:val="20"/>
        </w:rPr>
        <w:t>[Video 5: Ra_Conf_03_01.mp4]</w:t>
      </w:r>
    </w:p>
    <w:p>
      <w:pPr>
        <w:pStyle w:val="ListNumber"/>
      </w:pPr>
      <w:r>
        <w:rPr>
          <w:color w:val="0066CC"/>
          <w:sz w:val="20"/>
        </w:rPr>
        <w:t>[Video 6: Ra_Conf_04_01.mp4]</w:t>
      </w:r>
    </w:p>
    <w:p>
      <w:pPr>
        <w:pStyle w:val="ListNumber"/>
      </w:pPr>
      <w:r>
        <w:rPr>
          <w:color w:val="0066CC"/>
          <w:sz w:val="20"/>
        </w:rPr>
        <w:t>[Video 7: Ra_Conf_05_01.mp4]</w:t>
      </w:r>
    </w:p>
    <w:p>
      <w:pPr>
        <w:pStyle w:val="ListNumber"/>
      </w:pPr>
      <w:r>
        <w:rPr>
          <w:color w:val="0066CC"/>
          <w:sz w:val="20"/>
        </w:rPr>
        <w:t>[Video 8: Ra_Conf_05_02.mp4]</w:t>
      </w:r>
    </w:p>
    <w:p>
      <w:pPr>
        <w:pStyle w:val="ListNumber"/>
      </w:pPr>
      <w:r>
        <w:rPr>
          <w:color w:val="0066CC"/>
          <w:sz w:val="20"/>
        </w:rPr>
        <w:t>[Video 9: Ra_Conf_05_03.mp4]</w:t>
      </w:r>
    </w:p>
    <w:p/>
    <w:p>
      <w:pPr>
        <w:pStyle w:val="Heading2"/>
      </w:pPr>
      <w:r>
        <w:t>Slide Content</w:t>
      </w:r>
    </w:p>
    <w:p>
      <w:pPr>
        <w:pStyle w:val="Heading3"/>
      </w:pPr>
      <w:r>
        <w:rPr>
          <w:sz w:val="24"/>
        </w:rPr>
        <w:t>Slide 1/17: (Untitled)</w:t>
      </w:r>
    </w:p>
    <w:p>
      <w:r>
        <w:rPr>
          <w:i/>
          <w:color w:val="888888"/>
        </w:rPr>
        <w:t>[Image placeholder]</w:t>
      </w:r>
    </w:p>
    <w:p>
      <w:pPr>
        <w:pStyle w:val="Heading3"/>
      </w:pPr>
      <w:r>
        <w:rPr>
          <w:sz w:val="24"/>
        </w:rPr>
        <w:t>Slide 2/17: (Untitled)</w:t>
      </w:r>
    </w:p>
    <w:p>
      <w:r>
        <w:rPr>
          <w:i/>
          <w:color w:val="888888"/>
        </w:rPr>
        <w:t>[Image placeholder]</w:t>
      </w:r>
    </w:p>
    <w:p>
      <w:pPr>
        <w:pStyle w:val="Heading3"/>
      </w:pPr>
      <w:r>
        <w:rPr>
          <w:sz w:val="24"/>
        </w:rPr>
        <w:t>Slide 3/17: (Untitled)</w:t>
      </w:r>
    </w:p>
    <w:p>
      <w:r>
        <w:rPr>
          <w:i/>
          <w:color w:val="888888"/>
        </w:rPr>
        <w:t>[Image placeholder]</w:t>
      </w:r>
    </w:p>
    <w:p>
      <w:pPr>
        <w:spacing w:before="80" w:after="80"/>
        <w:shd w:fill="E8E8E8" w:val="clear"/>
      </w:pPr>
      <w:r>
        <w:rPr>
          <w:i/>
          <w:color w:val="444444"/>
          <w:sz w:val="18"/>
        </w:rPr>
        <w:t>Speaker Notes: Configure IRatingPIugin</w:t>
        <w:br/>
        <w:t>In production, only the rate books in Active status are used for rating policies. However, since the active rate books can never be edited, it is more convenient to develop and test with rate books not in Active status such as Stage, so that changes can be made in the current version instead of creating another version of the rate book. To support rating with rate books not in Active status in a development or test environment, the rating maintenance includes a RatingLevel parameter. This parameter controls the minimum rate book status that the rating query considers as a candidate. The default level is Active, and this is the recommended levelfor the production environments- A lower level can be set for development or test environments, such as Stage-</w:t>
        <w:br/>
        <w:t>The RatingLevel is passed on to the rating query as part of the filter- The query considers allrate books that are of equal or higher status than the minimum rating level-</w:t>
        <w:br/>
        <w:t>For details on configuring the IRatingPlugin, refer the PolicyCenter Integration Guide. is also one of the steps in configuring PolicyCenter to use Guidewire Rating Management.  Note that this step to use Guidewire Rating Management is already performed for you in the training installer However, if you get a fresh install of PolicyCenter then you will need to perform this configuration in addition to enabling Guidewire Rating Management</w:t>
      </w:r>
    </w:p>
    <w:p>
      <w:pPr>
        <w:pStyle w:val="Heading3"/>
      </w:pPr>
      <w:r>
        <w:rPr>
          <w:sz w:val="24"/>
        </w:rPr>
        <w:t>Slide 4/17: (Untitled)</w:t>
      </w:r>
    </w:p>
    <w:p>
      <w:r>
        <w:rPr>
          <w:i/>
          <w:color w:val="888888"/>
        </w:rPr>
        <w:t>[Image placeholder]</w:t>
      </w:r>
    </w:p>
    <w:p>
      <w:pPr>
        <w:spacing w:before="80" w:after="80"/>
        <w:shd w:fill="E8E8E8" w:val="clear"/>
      </w:pPr>
      <w:r>
        <w:rPr>
          <w:i/>
          <w:color w:val="444444"/>
          <w:sz w:val="18"/>
        </w:rPr>
        <w:t>Speaker Notes: Physical tables for rate tables</w:t>
        <w:br/>
        <w:t>In the base configuration there are two physical tables that can be used as- is and as models for other custom tables that may be required for a particular implementation. New custom physical table can be configured for one or a group of similar rate table definitions if neither table is appropriate.</w:t>
        <w:br/>
        <w:t>The factor column can be of type String, Integer, or Decimal-</w:t>
      </w:r>
    </w:p>
    <w:p>
      <w:pPr>
        <w:pStyle w:val="Heading3"/>
      </w:pPr>
      <w:r>
        <w:rPr>
          <w:sz w:val="24"/>
        </w:rPr>
        <w:t>Slide 5/17: (Untitled)</w:t>
      </w:r>
    </w:p>
    <w:p>
      <w:r>
        <w:rPr>
          <w:i/>
          <w:color w:val="888888"/>
        </w:rPr>
        <w:t>[Image placeholder]</w:t>
      </w:r>
    </w:p>
    <w:p>
      <w:pPr>
        <w:spacing w:before="80" w:after="80"/>
        <w:shd w:fill="E8E8E8" w:val="clear"/>
      </w:pPr>
      <w:r>
        <w:rPr>
          <w:i/>
          <w:color w:val="444444"/>
          <w:sz w:val="18"/>
        </w:rPr>
        <w:t>Speaker Notes: Ways to improve rate table performance</w:t>
        <w:br/>
        <w:t>Each of these are discussed in detail in the next few slides.</w:t>
      </w:r>
    </w:p>
    <w:p>
      <w:pPr>
        <w:pStyle w:val="Heading3"/>
      </w:pPr>
      <w:r>
        <w:rPr>
          <w:sz w:val="24"/>
        </w:rPr>
        <w:t>Slide 6/17: (Untitled)</w:t>
      </w:r>
    </w:p>
    <w:p>
      <w:r>
        <w:rPr>
          <w:i/>
          <w:color w:val="888888"/>
        </w:rPr>
        <w:t>[Image placeholder]</w:t>
      </w:r>
    </w:p>
    <w:p>
      <w:pPr>
        <w:spacing w:before="80" w:after="80"/>
        <w:shd w:fill="E8E8E8" w:val="clear"/>
      </w:pPr>
      <w:r>
        <w:rPr>
          <w:i/>
          <w:color w:val="444444"/>
          <w:sz w:val="18"/>
        </w:rPr>
        <w:t>Speaker Notes: Rate table lookup strategy</w:t>
        <w:br/>
        <w:t>When adding a Rate Table to a Rate Book, the lookup strategy defaults to Memory- Queries against the rate table are run using the strategy specified for that rate table- To decide which lookup strategy to use, consider how large the table is and how often it is referenced Consider database lookup if the rate table</w:t>
        <w:br/>
        <w:t>has thousands of rows and is referenced infrequently. For example, referenced only on a small percentage of quotes. For anything smaller, or for a rate table referenced numerous times to quote a policy,  use memory lookup.  Database lookup can result in significant slowdown for larger tables if they are used frequently.</w:t>
        <w:br/>
        <w:br/>
        <w:t>Create a covering index to improve performance using database</w:t>
        <w:br/>
        <w:t>Doing repeated database queries against a generic physical table (such as DefaultRateFactorRow) can cause performance issues. If you are using database lookup make sure the underlying database table is indexed correctly You can configure the physical table to have a custom row entity with a covering index. For more details on creating a covering index refer to the PolicyCenter Configuration Guide.</w:t>
      </w:r>
    </w:p>
    <w:p>
      <w:pPr>
        <w:pStyle w:val="Heading3"/>
      </w:pPr>
      <w:r>
        <w:rPr>
          <w:sz w:val="24"/>
        </w:rPr>
        <w:t>Slide 7/17: (Untitled)</w:t>
      </w:r>
    </w:p>
    <w:p>
      <w:r>
        <w:rPr>
          <w:i/>
          <w:color w:val="888888"/>
        </w:rPr>
        <w:t>[Image placeholder]</w:t>
      </w:r>
    </w:p>
    <w:p>
      <w:pPr>
        <w:spacing w:before="80" w:after="80"/>
        <w:shd w:fill="E8E8E8" w:val="clear"/>
      </w:pPr>
      <w:r>
        <w:rPr>
          <w:i/>
          <w:color w:val="444444"/>
          <w:sz w:val="18"/>
        </w:rPr>
        <w:t>Speaker Notes: Edit rate table lookup</w:t>
        <w:br/>
        <w:t>PolicyCenter consults the lookup setting when promoting the rate book status from Draft to Stage.</w:t>
        <w:br/>
        <w:t>Therefore, you can only change the lookup setting when the rate book is in Draft status- When a rate bookincludes Referencing  rate tables, the lookup value appears in parenthesis-</w:t>
        <w:br/>
        <w:t>Performance depends on the rate table content,  not just the row count For a table that is small enough to fit in memory,  in-memory will usually outperform a call out to the database. For database-queried tables, if the query tends to hit the correct row every time, database performance is better than if the query frequently goes through the relaxing process. A query hitting on the first try usually corresponds to a table which is mostly filled out, with very few null values. On the other hand, you can expect relaxation to occur often if the table has many null values.</w:t>
      </w:r>
    </w:p>
    <w:p>
      <w:pPr>
        <w:pStyle w:val="Heading3"/>
      </w:pPr>
      <w:r>
        <w:rPr>
          <w:sz w:val="24"/>
        </w:rPr>
        <w:t>Slide 8/17: (Untitled)</w:t>
      </w:r>
    </w:p>
    <w:p>
      <w:r>
        <w:rPr>
          <w:i/>
          <w:color w:val="888888"/>
        </w:rPr>
        <w:t>[Image placeholder]</w:t>
      </w:r>
    </w:p>
    <w:p>
      <w:pPr>
        <w:spacing w:before="80" w:after="80"/>
        <w:shd w:fill="E8E8E8" w:val="clear"/>
      </w:pPr>
      <w:r>
        <w:rPr>
          <w:i/>
          <w:color w:val="444444"/>
          <w:sz w:val="18"/>
        </w:rPr>
        <w:t>Speaker Notes: Rate table normalization</w:t>
        <w:br/>
        <w:t>For tables that fall within the specified configuration parameters, PolicyCenter normalizes the rate table to speed up rate factor lookups.</w:t>
        <w:br/>
        <w:t>Normalization does not change the rate table content that the user sees on screen in a rate table- The normalized content is created in memory only.  Configuration parameters control whether or not PolicyCenter normalizes rate table by default.</w:t>
      </w:r>
    </w:p>
    <w:p>
      <w:pPr>
        <w:pStyle w:val="Heading3"/>
      </w:pPr>
      <w:r>
        <w:rPr>
          <w:sz w:val="24"/>
        </w:rPr>
        <w:t>Slide 9/17: (Untitled)</w:t>
      </w:r>
    </w:p>
    <w:p>
      <w:r>
        <w:rPr>
          <w:i/>
          <w:color w:val="888888"/>
        </w:rPr>
        <w:t>[Image placeholder]</w:t>
      </w:r>
    </w:p>
    <w:p>
      <w:pPr>
        <w:spacing w:before="80" w:after="80"/>
        <w:shd w:fill="E8E8E8" w:val="clear"/>
      </w:pPr>
      <w:r>
        <w:rPr>
          <w:i/>
          <w:color w:val="444444"/>
          <w:sz w:val="18"/>
        </w:rPr>
        <w:t>Speaker Notes: Rate table normalization example</w:t>
        <w:br/>
        <w:t>Ages from 3 to 5 potentially match rows 1 or 2. Ages from 5 to 6 potentially match rows 2 and 3- To remove the range overlaps,  the table is normalized in memory as shown in the second screenshot above. Note: This is not a realistic example of a rate table but created for training purpose- For example, a null match would result for a child older than 8- A child of age 2 in a jurisdiction not California would also generate a null match.</w:t>
      </w:r>
    </w:p>
    <w:p>
      <w:pPr>
        <w:pStyle w:val="Heading3"/>
      </w:pPr>
      <w:r>
        <w:rPr>
          <w:sz w:val="24"/>
        </w:rPr>
        <w:t>Slide 10/17: (Untitled)</w:t>
      </w:r>
    </w:p>
    <w:p>
      <w:r>
        <w:rPr>
          <w:i/>
          <w:color w:val="888888"/>
        </w:rPr>
        <w:t>[Image placeholder]</w:t>
      </w:r>
    </w:p>
    <w:p>
      <w:pPr>
        <w:spacing w:before="80" w:after="80"/>
        <w:shd w:fill="E8E8E8" w:val="clear"/>
      </w:pPr>
      <w:r>
        <w:rPr>
          <w:i/>
          <w:color w:val="444444"/>
          <w:sz w:val="18"/>
        </w:rPr>
        <w:t>Speaker Notes: Parameters that control rate table normalization</w:t>
        <w:br/>
        <w:t>PolicyCenter determines whether to normalize a rate table by using the parameters Rate TableManagement NormalizationRowThres hold and Rate TableManagement NormalizationRowLimit defined in config.xml If you have a rate table that exceeds the RateTableManagementNormalizationRowThresho ld value specified in config-xml, after that table has been normalized, the Ul displays this message.  "This table contains overlapping ranges which creates internally normalized rows---" and the option "Reduce " is memory usage visible. If you edit that table, you can choose to not normalize the rate table by checking the option "Reduce memory usage“</w:t>
        <w:br/>
        <w:br/>
        <w:t>The rate table is normalized if it contains overlapping ranges or multi value columns, and "reduce memory usage“ is not checked for that table, and the number of rows (after normalization) does not exceed RateTableManagementNormalizationRowLimit</w:t>
      </w:r>
    </w:p>
    <w:p>
      <w:pPr>
        <w:pStyle w:val="Heading3"/>
      </w:pPr>
      <w:r>
        <w:rPr>
          <w:sz w:val="24"/>
        </w:rPr>
        <w:t>Slide 11/17: (Untitled)</w:t>
      </w:r>
    </w:p>
    <w:p>
      <w:r>
        <w:rPr>
          <w:i/>
          <w:color w:val="888888"/>
        </w:rPr>
        <w:t>[Image placeholder]</w:t>
      </w:r>
    </w:p>
    <w:p>
      <w:pPr>
        <w:pStyle w:val="Heading3"/>
      </w:pPr>
      <w:r>
        <w:rPr>
          <w:sz w:val="24"/>
        </w:rPr>
        <w:t>Slide 12/17: (Untitled)</w:t>
      </w:r>
    </w:p>
    <w:p>
      <w:pPr>
        <w:pStyle w:val="Heading3"/>
      </w:pPr>
      <w:r>
        <w:rPr>
          <w:sz w:val="24"/>
        </w:rPr>
        <w:t>Slide 13/17: (Untitled)</w:t>
      </w:r>
    </w:p>
    <w:p>
      <w:r>
        <w:rPr>
          <w:i/>
          <w:color w:val="888888"/>
        </w:rPr>
        <w:t>[Image placeholder]</w:t>
      </w:r>
    </w:p>
    <w:p>
      <w:pPr>
        <w:pStyle w:val="Heading3"/>
      </w:pPr>
      <w:r>
        <w:rPr>
          <w:sz w:val="24"/>
        </w:rPr>
        <w:t>Slide 14/17: (Untitled)</w:t>
      </w:r>
    </w:p>
    <w:p>
      <w:r>
        <w:rPr>
          <w:i/>
          <w:color w:val="888888"/>
        </w:rPr>
        <w:t>[Image placeholder]</w:t>
      </w:r>
    </w:p>
    <w:p>
      <w:pPr>
        <w:pStyle w:val="Heading3"/>
      </w:pPr>
      <w:r>
        <w:rPr>
          <w:sz w:val="24"/>
        </w:rPr>
        <w:t>Slide 15/17: (Untitled)</w:t>
      </w:r>
    </w:p>
    <w:p>
      <w:r>
        <w:rPr>
          <w:i/>
          <w:color w:val="888888"/>
        </w:rPr>
        <w:t>[Image placeholder]</w:t>
      </w:r>
    </w:p>
    <w:p>
      <w:pPr>
        <w:pStyle w:val="Heading3"/>
      </w:pPr>
      <w:r>
        <w:rPr>
          <w:sz w:val="24"/>
        </w:rPr>
        <w:t>Slide 16/17: (Untitled)</w:t>
      </w:r>
    </w:p>
    <w:p>
      <w:r>
        <w:rPr>
          <w:i/>
          <w:color w:val="888888"/>
        </w:rPr>
        <w:t>[Image placeholder]</w:t>
      </w:r>
    </w:p>
    <w:p>
      <w:pPr>
        <w:pStyle w:val="Heading3"/>
      </w:pPr>
      <w:r>
        <w:rPr>
          <w:sz w:val="24"/>
        </w:rPr>
        <w:t>Slide 17/17: (Untitled)</w:t>
      </w:r>
    </w:p>
    <w:p>
      <w:r>
        <w:rPr>
          <w:i/>
          <w:color w:val="888888"/>
        </w:rPr>
        <w:t>[Image placeholder]</w:t>
      </w:r>
    </w:p>
    <w:p/>
    <w:p>
      <w:pPr>
        <w:spacing w:before="240"/>
        <w:jc w:val="center"/>
      </w:pPr>
      <w:r>
        <w:rPr>
          <w:i/>
          <w:color w:val="999999"/>
          <w:sz w:val="16"/>
        </w:rPr>
        <w:t>--- End of Lesson 4: Rating maintenance Configuration | 17 slides | 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