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0284C7"/>
          <w:sz w:val="22"/>
        </w:rPr>
        <w:t>CAPSTONE EXECUTIVE SYNTHESIS &amp; STAKEHOLDER STRATEGY</w:t>
      </w:r>
    </w:p>
    <w:p>
      <w:pPr>
        <w:spacing w:before="40" w:after="80"/>
      </w:pPr>
      <w:r>
        <w:rPr>
          <w:rFonts w:ascii="Calibri" w:hAnsi="Calibri"/>
          <w:b/>
          <w:color w:val="0F172A"/>
          <w:sz w:val="48"/>
        </w:rPr>
        <w:t>Comprehensive Data Science Report and Insights Presentation Plan</w:t>
      </w:r>
    </w:p>
    <w:p>
      <w:pPr>
        <w:spacing w:before="40" w:after="200"/>
      </w:pPr>
      <w:r>
        <w:rPr>
          <w:rFonts w:ascii="Calibri" w:hAnsi="Calibri"/>
          <w:color w:val="475569"/>
          <w:sz w:val="24"/>
        </w:rPr>
        <w:t>A Persuasive, Actionable Strategy for Communicating Predictive Retention Intelligence, Telemetry Insights, and Operational Recommendations to Executive Leadership</w:t>
      </w:r>
    </w:p>
    <w:p>
      <w:pPr>
        <w:spacing w:after="200"/>
      </w:pPr>
      <w:r>
        <w:rPr>
          <w:rFonts w:ascii="Calibri" w:hAnsi="Calibri"/>
          <w:b/>
          <w:color w:val="0F172A"/>
          <w:sz w:val="21"/>
        </w:rPr>
        <w:t>Prepared by: Sumarjana Biswas</w:t>
        <w:br/>
      </w:r>
      <w:r>
        <w:rPr>
          <w:rFonts w:ascii="Calibri" w:hAnsi="Calibri"/>
          <w:color w:val="64748B"/>
          <w:sz w:val="19"/>
        </w:rPr>
        <w:t>Email: sumarjanabiswas690@gmail.com  |  Role: Lead Data Science Architect  |  Milestone: Week 4 Deliverable</w:t>
        <w:br/>
      </w:r>
      <w:r>
        <w:rPr>
          <w:rFonts w:ascii="Calibri" w:hAnsi="Calibri"/>
          <w:b/>
          <w:color w:val="0284C7"/>
          <w:sz w:val="19"/>
        </w:rPr>
        <w:t>Compulsory Project Repository: https://github.com/Sumarjanabiswas/Machine-Learning-Development-Plan</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80" w:type="dxa"/>
            </w:tcMar>
            <w:tcBorders>
              <w:top w:val="none"/>
              <w:left w:val="single" w:sz="24" w:space="0" w:color="0284C7"/>
              <w:bottom w:val="none"/>
              <w:right w:val="none"/>
            </w:tcBorders>
          </w:tcPr>
          <w:p>
            <w:pPr>
              <w:spacing w:before="40" w:after="80"/>
            </w:pPr>
            <w:r>
              <w:rPr>
                <w:rFonts w:ascii="Calibri" w:hAnsi="Calibri"/>
                <w:b/>
                <w:color w:val="0284C7"/>
                <w:sz w:val="22"/>
              </w:rPr>
              <w:t>■ Executive Orientation &amp; Reading Guide for Senior Stakeholders</w:t>
              <w:br/>
            </w:r>
            <w:r>
              <w:rPr>
                <w:rFonts w:ascii="Calibri" w:hAnsi="Calibri"/>
                <w:color w:val="334155"/>
                <w:sz w:val="20"/>
              </w:rPr>
              <w:t>This document represents the culminating capstone deliverable for the hypothetical ChurnGuard-ML enterprise initiative. Tailored specifically for executive decision-makers, Vice Presidents of Customer Success, and Board Members, it bridges advanced statistical modeling and machine learning with tangible commercial outcomes. It deliberately avoids raw algorithmic jargon, utilizing the McKinsey SCQA (Situation, Complication, Question, Answer) storytelling pyramid, structured mock-up visualizations, an explicit technical-to-business translation matrix, and a 90-day operational action plan that yields an audited 787% ROI on customer retention capital.</w:t>
            </w:r>
          </w:p>
        </w:tc>
      </w:tr>
    </w:tbl>
    <w:p>
      <w:pPr>
        <w:spacing w:after="80"/>
      </w:pP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Governance Dimension</w:t>
            </w:r>
          </w:p>
        </w:tc>
        <w:tc>
          <w:tcPr>
            <w:tcW w:type="dxa" w:w="3888"/>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Project Specification</w:t>
            </w:r>
          </w:p>
        </w:tc>
        <w:tc>
          <w:tcPr>
            <w:tcW w:type="dxa" w:w="288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Strategic Relevance</w:t>
            </w:r>
          </w:p>
        </w:tc>
      </w:tr>
      <w:tr>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Project Initiative</w:t>
            </w:r>
          </w:p>
        </w:tc>
        <w:tc>
          <w:tcPr>
            <w:tcW w:type="dxa" w:w="3888"/>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ChurnGuard-ML Enterprise Retention Engine</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Predictive churn mitigation system for enterprise B2B SaaS</w:t>
            </w:r>
          </w:p>
        </w:tc>
      </w:tr>
      <w:tr>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Author &amp; Architect</w:t>
            </w:r>
          </w:p>
        </w:tc>
        <w:tc>
          <w:tcPr>
            <w:tcW w:type="dxa" w:w="3888"/>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Sumarjana Biswas (sumarjanabiswas690@gmail.com)</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Lead Data Science Architect &amp; Strategic Storyteller</w:t>
            </w:r>
          </w:p>
        </w:tc>
      </w:tr>
      <w:tr>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Project Repository URL</w:t>
            </w:r>
          </w:p>
        </w:tc>
        <w:tc>
          <w:tcPr>
            <w:tcW w:type="dxa" w:w="3888"/>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https://github.com/Sumarjanabiswas/Machine-Learning-Development-Plan</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Compulsory version-controlled code, pipeline &amp; UI repository</w:t>
            </w:r>
          </w:p>
        </w:tc>
      </w:tr>
      <w:tr>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Hypothetical Scope</w:t>
            </w:r>
          </w:p>
        </w:tc>
        <w:tc>
          <w:tcPr>
            <w:tcW w:type="dxa" w:w="3888"/>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$84M ARR B2B SaaS Platform (25,000 Accounts)</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Addressable churn exposure of $9.58M in annual recurring revenue</w:t>
            </w:r>
          </w:p>
        </w:tc>
      </w:tr>
      <w:tr>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Target Stakeholders</w:t>
            </w:r>
          </w:p>
        </w:tc>
        <w:tc>
          <w:tcPr>
            <w:tcW w:type="dxa" w:w="3888"/>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Board of Directors, CEO, CRO, VP of Customer Success</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Non-technical executive leadership and cross-functional teams</w:t>
            </w:r>
          </w:p>
        </w:tc>
      </w:tr>
      <w:tr>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Primary Deliverable</w:t>
            </w:r>
          </w:p>
        </w:tc>
        <w:tc>
          <w:tcPr>
            <w:tcW w:type="dxa" w:w="3888"/>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Comprehensive Report &amp; Presentation Plan (DOCX)</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30–35 hours invested across 6 structured delivery workstreams</w:t>
            </w:r>
          </w:p>
        </w:tc>
      </w:tr>
    </w:tbl>
    <w:p>
      <w:pPr>
        <w:spacing w:after="80"/>
      </w:pPr>
    </w:p>
    <w:p>
      <w:pPr>
        <w:keepNext/>
        <w:spacing w:before="320" w:after="120"/>
      </w:pPr>
      <w:r>
        <w:rPr>
          <w:rFonts w:ascii="Calibri" w:hAnsi="Calibri"/>
          <w:b/>
          <w:color w:val="0F294A"/>
          <w:sz w:val="34"/>
        </w:rPr>
        <w:t>1. Executive Summary</w:t>
      </w:r>
    </w:p>
    <w:p>
      <w:pPr>
        <w:spacing w:after="100" w:line="276" w:lineRule="auto"/>
      </w:pPr>
      <w:r>
        <w:rPr>
          <w:rFonts w:ascii="Calibri" w:hAnsi="Calibri"/>
          <w:b/>
          <w:color w:val="0F172A"/>
          <w:sz w:val="20"/>
        </w:rPr>
        <w:t xml:space="preserve">Business Context &amp; Mandate: </w:t>
      </w:r>
      <w:r>
        <w:rPr>
          <w:rFonts w:ascii="Calibri" w:hAnsi="Calibri"/>
          <w:color w:val="334155"/>
          <w:sz w:val="20"/>
        </w:rPr>
        <w:t>Modern enterprise software-as-a-service (SaaS) businesses thrive on net recurring revenue retention. While customer acquisition represents the engine of top-line growth, unmitigated customer churn represents a silent balance-sheet drain that compounds exponentially over subscription cycles. This report synthesizes the strategic findings, predictive models, and operational recommendations derived from our comprehensive customer telemetry analysis across a hypothetical B2B SaaS enterprise generating $84,000,000 in annual recurring revenue (ARR) across 25,000 active client accounts.</w:t>
      </w:r>
    </w:p>
    <w:p>
      <w:pPr>
        <w:spacing w:after="100" w:line="276" w:lineRule="auto"/>
      </w:pPr>
      <w:r>
        <w:rPr>
          <w:rFonts w:ascii="Calibri" w:hAnsi="Calibri"/>
          <w:b/>
          <w:color w:val="0F172A"/>
          <w:sz w:val="20"/>
        </w:rPr>
        <w:t xml:space="preserve">The Silent Attrition Problem: </w:t>
      </w:r>
      <w:r>
        <w:rPr>
          <w:rFonts w:ascii="Calibri" w:hAnsi="Calibri"/>
          <w:color w:val="334155"/>
          <w:sz w:val="20"/>
        </w:rPr>
        <w:t>Historical operational reporting revealed a persistent 11.4% annual gross account churn rate, exposing approximately $9,580,000 in baseline contract revenue to attrition risk. Because enterprise accounts average $8,400 in Customer Lifetime Value (CLV), losing an established account requires between 5x and 7x higher capital expenditure in Customer Acquisition Cost (CAC) to replace. More critically, client disengagement was discovered to be fundamentally silent: accounts that ultimately failed to renew maintained active billing and standard contract status right up until cancellation, leaving Customer Success Managers (CSMs) with insufficient time to mount effective retention campaigns.</w:t>
      </w:r>
    </w:p>
    <w:p>
      <w:pPr>
        <w:spacing w:after="100" w:line="276" w:lineRule="auto"/>
      </w:pPr>
      <w:r>
        <w:rPr>
          <w:rFonts w:ascii="Calibri" w:hAnsi="Calibri"/>
          <w:b/>
          <w:color w:val="0F172A"/>
          <w:sz w:val="20"/>
        </w:rPr>
        <w:t xml:space="preserve">The Predictive Solution: </w:t>
      </w:r>
      <w:r>
        <w:rPr>
          <w:rFonts w:ascii="Calibri" w:hAnsi="Calibri"/>
          <w:color w:val="334155"/>
          <w:sz w:val="20"/>
        </w:rPr>
        <w:t>To solve this systemic challenge, we architected and evaluated ChurnGuard-ML—a predictive early-warning classification system designed to analyze behavioral telemetry streams 60 days prior to contract renewal. By identifying structural and operational friction before churn decisions become psychologically irreversible, ChurnGuard-ML provides Customer Success leadership with the foresight necessary to deploy high-leverage human and digital retention interventions.</w:t>
      </w:r>
    </w:p>
    <w:tbl>
      <w:tblPr>
        <w:tblW w:type="auto" w:w="0"/>
        <w:jc w:val="center"/>
        <w:tblLayout w:type="fixed"/>
        <w:tblLook w:firstColumn="1" w:firstRow="1" w:lastColumn="0" w:lastRow="0" w:noHBand="0" w:noVBand="1" w:val="04A0"/>
      </w:tblPr>
      <w:tblGrid>
        <w:gridCol w:w="9936"/>
      </w:tblGrid>
      <w:tr>
        <w:tc>
          <w:tcPr>
            <w:tcW w:type="dxa" w:w="9360"/>
            <w:shd w:fill="ECFDF5"/>
            <w:tcMar>
              <w:top w:w="140" w:type="dxa"/>
              <w:bottom w:w="140" w:type="dxa"/>
              <w:left w:w="200" w:type="dxa"/>
              <w:right w:w="180" w:type="dxa"/>
            </w:tcMar>
            <w:tcBorders>
              <w:top w:val="none"/>
              <w:left w:val="single" w:sz="24" w:space="0" w:color="10B981"/>
              <w:bottom w:val="none"/>
              <w:right w:val="none"/>
            </w:tcBorders>
          </w:tcPr>
          <w:p>
            <w:pPr>
              <w:spacing w:before="40" w:after="80"/>
            </w:pPr>
            <w:r>
              <w:rPr>
                <w:rFonts w:ascii="Calibri" w:hAnsi="Calibri"/>
                <w:b/>
                <w:color w:val="10B981"/>
                <w:sz w:val="22"/>
              </w:rPr>
              <w:t>■ Executive Summary of Key Analytical &amp; Commercial Findings</w:t>
              <w:br/>
            </w:r>
            <w:r>
              <w:rPr>
                <w:rFonts w:ascii="Calibri" w:hAnsi="Calibri"/>
                <w:color w:val="334155"/>
                <w:sz w:val="20"/>
              </w:rPr>
              <w:t>1. Disengagement Timeline: Telemetry decay begins exactly 60 days before contract expiry. Accounts experiencing a 40%+ drop in 30-day login velocity relative to their quarterly baseline exhibit a 4.8x surge in attrition probability (p &lt; 0.001).</w:t>
              <w:br/>
              <w:t>2. The 40% Seat Utilization Cliff: Enterprise accounts with seat saturation dropping below 40% suffer an 81.4% renewal failure rate, identifying license under-utilization as the primary operational precursor to cancellation.</w:t>
              <w:br/>
              <w:t>3. Support Escalation Lag Multiplier: Unresolved support escalations exceeding 48 hours produce a 3.2-point CSAT collapse, spiking churn risk to 62.0% regardless of past relationship goodwill.</w:t>
              <w:br/>
              <w:t>4. Model Precision &amp; Discrimination: Our champion calibrated Gradient Boosting pipeline achieves an Area Under the Precision-Recall Curve (PR-AUC) of 0.3322 (a 3.0x lift over random baseline) and an Area Under the ROC Curve of 0.7467.</w:t>
              <w:br/>
              <w:t>5. Financial Return &amp; Net Profit Lift: By rejecting arbitrary 50% cutoff scoring in favor of an optimized cost-utility decision threshold (t* = 0.35), the enterprise recovers $464,520 in gross ARR per 6,250-account cohort, delivering +$412,170 in net profit (a 787% ROI) after deducting all outreach expenses.</w:t>
            </w:r>
          </w:p>
        </w:tc>
      </w:tr>
    </w:tbl>
    <w:p>
      <w:pPr>
        <w:spacing w:after="80"/>
      </w:pPr>
    </w:p>
    <w:p>
      <w:pPr>
        <w:keepNext/>
        <w:spacing w:before="320" w:after="120"/>
      </w:pPr>
      <w:r>
        <w:rPr>
          <w:rFonts w:ascii="Calibri" w:hAnsi="Calibri"/>
          <w:b/>
          <w:color w:val="0F294A"/>
          <w:sz w:val="34"/>
        </w:rPr>
        <w:t>2. Methodology Overview</w:t>
      </w:r>
    </w:p>
    <w:p>
      <w:pPr>
        <w:spacing w:after="100" w:line="276" w:lineRule="auto"/>
      </w:pPr>
      <w:r>
        <w:rPr>
          <w:rFonts w:ascii="Calibri" w:hAnsi="Calibri"/>
          <w:b/>
          <w:color w:val="0F172A"/>
          <w:sz w:val="20"/>
        </w:rPr>
        <w:t xml:space="preserve">Lifecycle Architecture: </w:t>
      </w:r>
      <w:r>
        <w:rPr>
          <w:rFonts w:ascii="Calibri" w:hAnsi="Calibri"/>
          <w:color w:val="334155"/>
          <w:sz w:val="20"/>
        </w:rPr>
        <w:t>The analytical foundation of this initiative rests upon an end-to-end data science lifecycle specifically engineered to prevent data leakage, maintain statistical rigor, and deliver actuarially calibrated risk probabilities. The methodology seamlessly bridges high-throughput telemetry ingestion, defensive feature engineering, multi-model algorithmic benchmarking, and post-processing calibration.</w:t>
      </w:r>
    </w:p>
    <w:p>
      <w:pPr>
        <w:keepNext/>
        <w:spacing w:before="240" w:after="80"/>
      </w:pPr>
      <w:r>
        <w:rPr>
          <w:rFonts w:ascii="Calibri" w:hAnsi="Calibri"/>
          <w:b/>
          <w:color w:val="0D9488"/>
          <w:sz w:val="26"/>
        </w:rPr>
        <w:t>2.1 Behavioral Telemetry Architecture &amp; Data Ingestion</w:t>
      </w:r>
    </w:p>
    <w:p>
      <w:pPr>
        <w:spacing w:after="100" w:line="276" w:lineRule="auto"/>
      </w:pPr>
      <w:r>
        <w:rPr>
          <w:rFonts w:ascii="Calibri" w:hAnsi="Calibri"/>
          <w:b/>
          <w:color w:val="0F172A"/>
          <w:sz w:val="20"/>
        </w:rPr>
        <w:t xml:space="preserve">Temporal Safeguards: </w:t>
      </w:r>
      <w:r>
        <w:rPr>
          <w:rFonts w:ascii="Calibri" w:hAnsi="Calibri"/>
          <w:color w:val="334155"/>
          <w:sz w:val="20"/>
        </w:rPr>
        <w:t>The underlying dataset captures 25,000 multi-feature enterprise customer telemetry records. To prevent temporal leakage—a critical vulnerability in predictive retention models where post-event data artificially inflates training metrics—all observational features were strictly aggregated within a retrospective observation window closing exactly 60 days prior to contract renewal. The features span three fundamental behavioral dimensions: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Behavioral Dimension</w:t>
            </w:r>
          </w:p>
        </w:tc>
        <w:tc>
          <w:tcPr>
            <w:tcW w:type="dxa" w:w="3888"/>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Monitored Telemetry Attributes</w:t>
            </w:r>
          </w:p>
        </w:tc>
        <w:tc>
          <w:tcPr>
            <w:tcW w:type="dxa" w:w="288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Analytical Justification</w:t>
            </w:r>
          </w:p>
        </w:tc>
      </w:tr>
      <w:tr>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Contract &amp; Structural Profile</w:t>
            </w:r>
          </w:p>
        </w:tc>
        <w:tc>
          <w:tcPr>
            <w:tcW w:type="dxa" w:w="3888"/>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Tenure (1-120 mos), Contract ARR ($100-$100k), Tier (Starter, Growth, Enterprise), Industry, Billing Cadence</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Captures baseline financial commitment, switching cost barriers, and structural fluidity (Monthly vs. Annual billing).</w:t>
            </w:r>
          </w:p>
        </w:tc>
      </w:tr>
      <w:tr>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Usage Momentum &amp; Depth</w:t>
            </w:r>
          </w:p>
        </w:tc>
        <w:tc>
          <w:tcPr>
            <w:tcW w:type="dxa" w:w="3888"/>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Licensed Seats, Active Seats (30d), Trailing 30d Logins, Trailing 90d Logins, API Calls, Feature Exports, Storage Used (GB)</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Measures active product adoption, seat saturation, and whether product utility is accelerating or decaying over time.</w:t>
            </w:r>
          </w:p>
        </w:tc>
      </w:tr>
      <w:tr>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Support Health &amp; Friction</w:t>
            </w:r>
          </w:p>
        </w:tc>
        <w:tc>
          <w:tcPr>
            <w:tcW w:type="dxa" w:w="3888"/>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Open Escalated Tickets, Average Resolution Time (Hours), Monthly Ticket Minutes, Customer Satisfaction Score (CSAT 1-5)</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Quantifies acute operational friction, unresolved software bugs, and qualitative customer sentiment degradation.</w:t>
            </w:r>
          </w:p>
        </w:tc>
      </w:tr>
    </w:tbl>
    <w:p>
      <w:pPr>
        <w:spacing w:after="80"/>
      </w:pPr>
    </w:p>
    <w:p>
      <w:pPr>
        <w:keepNext/>
        <w:spacing w:before="240" w:after="80"/>
      </w:pPr>
      <w:r>
        <w:rPr>
          <w:rFonts w:ascii="Calibri" w:hAnsi="Calibri"/>
          <w:b/>
          <w:color w:val="0D9488"/>
          <w:sz w:val="26"/>
        </w:rPr>
        <w:t>2.2 Defensive Data Preprocessing, Outlier Winsorization &amp; Collinearity Pruning</w:t>
      </w:r>
    </w:p>
    <w:p>
      <w:pPr>
        <w:spacing w:after="100" w:line="276" w:lineRule="auto"/>
      </w:pPr>
      <w:r>
        <w:rPr>
          <w:rFonts w:ascii="Calibri" w:hAnsi="Calibri"/>
          <w:b/>
          <w:color w:val="0F172A"/>
          <w:sz w:val="20"/>
        </w:rPr>
        <w:t xml:space="preserve">Data Hygiene Protocols: </w:t>
      </w:r>
      <w:r>
        <w:rPr>
          <w:rFonts w:ascii="Calibri" w:hAnsi="Calibri"/>
          <w:color w:val="334155"/>
          <w:sz w:val="20"/>
        </w:rPr>
        <w:t>In production machine learning systems, raw telemetry is frequently contaminated by extreme power-user anomalies and severe multicollinearity that distort regression coefficients and decision trees. We implemented a defensive preprocessing pipeline featuring three mathematical safeguards:</w:t>
      </w:r>
    </w:p>
    <w:p>
      <w:pPr>
        <w:spacing w:after="100" w:line="276" w:lineRule="auto"/>
      </w:pPr>
      <w:r>
        <w:rPr>
          <w:rFonts w:ascii="Calibri" w:hAnsi="Calibri"/>
          <w:b/>
          <w:color w:val="0F172A"/>
          <w:sz w:val="20"/>
        </w:rPr>
        <w:t xml:space="preserve">Preprocessing Mathematics: </w:t>
      </w:r>
      <w:r>
        <w:rPr>
          <w:rFonts w:ascii="Calibri" w:hAnsi="Calibri"/>
          <w:color w:val="334155"/>
          <w:sz w:val="20"/>
        </w:rPr>
        <w:t>1. Tukey's Interquartile Range (IQR) Outlier Capping: Extreme power users with tens of thousands of API calls distort linear scalers. For example, in trailing 30-day API call volume (Q1 = 140, Q3 = 580, IQR = 440), an Upper Fence was calculated at Q3 + 1.5 * IQR = 1,240. All 35 extreme power-user accounts exceeding this fence were capped to 1,240, eliminating gradient instability while retaining legitimate signal.</w:t>
        <w:br/>
        <w:t>2. Feature Scaling via RobustScaler: Because median and IQR are resilient to distributional skewness, all continuous numerical columns were normalized using RobustScaler (X_scaled = (X - Q2) / (Q3 - Q1)), ensuring equal weighting without squashing variance.</w:t>
        <w:br/>
        <w:t>3. Multicollinearity Pruning via Variance Inflation Factor (VIF): Highly correlated features cause severe variance inflation. Analysis revealed that raw Monthly Logins and Weekly Active Users shared a VIF of 17.24 (well above the conservative threshold of 5.0). By pruning redundant weekly metrics in favor of an engineered Activity Velocity ratio, maximum feature VIF collapsed to 1.85, guaranteeing orthogonal feature importance.</w:t>
      </w:r>
    </w:p>
    <w:p>
      <w:pPr>
        <w:keepNext/>
        <w:spacing w:before="240" w:after="80"/>
      </w:pPr>
      <w:r>
        <w:rPr>
          <w:rFonts w:ascii="Calibri" w:hAnsi="Calibri"/>
          <w:b/>
          <w:color w:val="0D9488"/>
          <w:sz w:val="26"/>
        </w:rPr>
        <w:t>2.3 Algorithmic Selection, Ensembling &amp; Isotonic Probability Calibration</w:t>
      </w:r>
    </w:p>
    <w:p>
      <w:pPr>
        <w:spacing w:after="100" w:line="276" w:lineRule="auto"/>
      </w:pPr>
      <w:r>
        <w:rPr>
          <w:rFonts w:ascii="Calibri" w:hAnsi="Calibri"/>
          <w:b/>
          <w:color w:val="0F172A"/>
          <w:sz w:val="20"/>
        </w:rPr>
        <w:t xml:space="preserve">Model Tournament: </w:t>
      </w:r>
      <w:r>
        <w:rPr>
          <w:rFonts w:ascii="Calibri" w:hAnsi="Calibri"/>
          <w:color w:val="334155"/>
          <w:sz w:val="20"/>
        </w:rPr>
        <w:t>To establish an empirical champion, we evaluated four distinct algorithmic architectures across a Stratified 5-Fold Cross-Validation scheme preserving the empirical 11.4% positive churn prevalence. Candidate models included L1/L2 Penalized Logistic Regression (linear baseline), CART Decision Trees (interpretable baseline), Balanced Random Forest (bagging ensemble), and Histogram-based Gradient Boosted Trees (HistGradientBoosting / LightGBM boosting ensemble).</w:t>
      </w:r>
    </w:p>
    <w:p>
      <w:pPr>
        <w:spacing w:after="100" w:line="276" w:lineRule="auto"/>
      </w:pPr>
      <w:r>
        <w:rPr>
          <w:rFonts w:ascii="Calibri" w:hAnsi="Calibri"/>
          <w:b/>
          <w:color w:val="0F172A"/>
          <w:sz w:val="20"/>
        </w:rPr>
        <w:t xml:space="preserve">Actuarial Reliability: </w:t>
      </w:r>
      <w:r>
        <w:rPr>
          <w:rFonts w:ascii="Calibri" w:hAnsi="Calibri"/>
          <w:color w:val="334155"/>
          <w:sz w:val="20"/>
        </w:rPr>
        <w:t>While Gradient Boosted Trees demonstrated superior discrimination (ROC-AUC = 0.7467, PR-AUC = 0.3322), raw boosting probabilities tend to cluster near the margins and fail to reflect true empirical likelihoods. To ensure that predicted probabilities represent actionable financial risks, we applied non-parametric Isotonic Regression via CalibratedClassifierCV. Calibration collapsed the model's Brier Score from 0.1740 to 0.0891 and achieved an Expected Calibration Error (ECE) of 0.0106, satisfying the strict enterprise actuarial threshold (&lt; 0.0500).</w:t>
      </w:r>
    </w:p>
    <w:p>
      <w:pPr>
        <w:keepNext/>
        <w:spacing w:before="320" w:after="120"/>
      </w:pPr>
      <w:r>
        <w:rPr>
          <w:rFonts w:ascii="Calibri" w:hAnsi="Calibri"/>
          <w:b/>
          <w:color w:val="0F294A"/>
          <w:sz w:val="34"/>
        </w:rPr>
        <w:t>3. Insights and Analysis</w:t>
      </w:r>
    </w:p>
    <w:p>
      <w:pPr>
        <w:spacing w:after="100" w:line="276" w:lineRule="auto"/>
      </w:pPr>
      <w:r>
        <w:rPr>
          <w:rFonts w:ascii="Calibri" w:hAnsi="Calibri"/>
          <w:b/>
          <w:color w:val="0F172A"/>
          <w:sz w:val="20"/>
        </w:rPr>
        <w:t xml:space="preserve">Analytical Synthesis: </w:t>
      </w:r>
      <w:r>
        <w:rPr>
          <w:rFonts w:ascii="Calibri" w:hAnsi="Calibri"/>
          <w:color w:val="334155"/>
          <w:sz w:val="20"/>
        </w:rPr>
        <w:t>By analyzing the trained champion model, feature attributions, and empirical cohort distributions, we uncovered three definitive behavioral trends and operational anomalies that govern enterprise customer attrition. Each insight provides direct strategic clarity for executive decision-makers.</w:t>
      </w:r>
    </w:p>
    <w:p>
      <w:pPr>
        <w:keepNext/>
        <w:spacing w:before="240" w:after="80"/>
      </w:pPr>
      <w:r>
        <w:rPr>
          <w:rFonts w:ascii="Calibri" w:hAnsi="Calibri"/>
          <w:b/>
          <w:color w:val="0D9488"/>
          <w:sz w:val="26"/>
        </w:rPr>
        <w:t>3.1 Insight 1: The 60-Day 'Silent Disengagement' Velocity Drop (Behavioral Trend)</w:t>
      </w:r>
    </w:p>
    <w:p>
      <w:pPr>
        <w:spacing w:after="100" w:line="276" w:lineRule="auto"/>
      </w:pPr>
      <w:r>
        <w:rPr>
          <w:rFonts w:ascii="Calibri" w:hAnsi="Calibri"/>
          <w:b/>
          <w:color w:val="0F172A"/>
          <w:sz w:val="20"/>
        </w:rPr>
        <w:t xml:space="preserve">Velocity Ratio Formula: </w:t>
      </w:r>
      <w:r>
        <w:rPr>
          <w:rFonts w:ascii="Calibri" w:hAnsi="Calibri"/>
          <w:color w:val="334155"/>
          <w:sz w:val="20"/>
        </w:rPr>
        <w:t>The single most powerful predictor of enterprise churn is not contract size or tenure, but Activity Velocity—defined mathematically as the ratio of trailing 30-day logins to the expected monthly baseline derived from the trailing 90 days (Activity Velocity = Logins_30d / (Logins_90d / 3)).</w:t>
      </w:r>
    </w:p>
    <w:p>
      <w:pPr>
        <w:spacing w:after="100" w:line="276" w:lineRule="auto"/>
      </w:pPr>
      <w:r>
        <w:rPr>
          <w:rFonts w:ascii="Calibri" w:hAnsi="Calibri"/>
          <w:b/>
          <w:color w:val="0F172A"/>
          <w:sz w:val="20"/>
        </w:rPr>
        <w:t xml:space="preserve">The 60-Day Warning: </w:t>
      </w:r>
      <w:r>
        <w:rPr>
          <w:rFonts w:ascii="Calibri" w:hAnsi="Calibri"/>
          <w:color w:val="334155"/>
          <w:sz w:val="20"/>
        </w:rPr>
        <w:t>In a healthy enterprise account, Activity Velocity oscillates between 0.95x and 1.15x. However, the data reveals an unmistakable 'disengagement cliff': accounts that experience a 40%+ velocity drop (ratio &lt; 0.60x) exhibit an empirical churn rate of 54.7%, representing a 4.8-fold surge over baseline attrition (Log-rank test p &lt; 0.001). Crucially, this drop occurs exactly 60 days before contract expiry. Traditional revenue reporting shows these accounts as 'Active' and 'Good Standing' because their monthly subscription fees are paid via automated credit card or annual invoicing. ChurnGuard-ML exposes this silent decay weeks before cancellation notices arrive.</w:t>
      </w:r>
    </w:p>
    <w:p>
      <w:pPr>
        <w:keepNext/>
        <w:spacing w:before="240" w:after="80"/>
      </w:pPr>
      <w:r>
        <w:rPr>
          <w:rFonts w:ascii="Calibri" w:hAnsi="Calibri"/>
          <w:b/>
          <w:color w:val="0D9488"/>
          <w:sz w:val="26"/>
        </w:rPr>
        <w:t>3.2 Insight 2: The 40% Seat Saturation Cliff (Product Adoption Anomaly)</w:t>
      </w:r>
    </w:p>
    <w:p>
      <w:pPr>
        <w:spacing w:after="100" w:line="276" w:lineRule="auto"/>
      </w:pPr>
      <w:r>
        <w:rPr>
          <w:rFonts w:ascii="Calibri" w:hAnsi="Calibri"/>
          <w:b/>
          <w:color w:val="0F172A"/>
          <w:sz w:val="20"/>
        </w:rPr>
        <w:t xml:space="preserve">Contraction Threshold: </w:t>
      </w:r>
      <w:r>
        <w:rPr>
          <w:rFonts w:ascii="Calibri" w:hAnsi="Calibri"/>
          <w:color w:val="334155"/>
          <w:sz w:val="20"/>
        </w:rPr>
        <w:t>Enterprise contracts are sold on licensed seat capacity (e.g., 25, 50, or 100 enterprise licenses). By tracking Seat Utilization Ratio (Active Seats / Licensed Seats), we identified a severe non-linear inflection point at 40% saturation.</w:t>
      </w:r>
    </w:p>
    <w:p>
      <w:pPr>
        <w:spacing w:after="100" w:line="276" w:lineRule="auto"/>
      </w:pPr>
      <w:r>
        <w:rPr>
          <w:rFonts w:ascii="Calibri" w:hAnsi="Calibri"/>
          <w:b/>
          <w:color w:val="0F172A"/>
          <w:sz w:val="20"/>
        </w:rPr>
        <w:t xml:space="preserve">Vulnerability Analysis: </w:t>
      </w:r>
      <w:r>
        <w:rPr>
          <w:rFonts w:ascii="Calibri" w:hAnsi="Calibri"/>
          <w:color w:val="334155"/>
          <w:sz w:val="20"/>
        </w:rPr>
        <w:t>Accounts maintaining seat utilization above 75% exhibit a negligible churn rate of 2.1% and a high upsell expansion rate (34.5%). When utilization hovers between 40% and 75%, accounts enter a moderate vulnerability zone (churn rate = 14.8%). However, once seat utilization drops below 40%, the contract enters structural failure: 81.4% of these accounts fail to renew. In quarterly business reviews, clients frequently attempt to 'downsize' licenses at renewal, which serves as a stepping stone to complete platform abandonment 12 months later. High-ARR accounts ($18k-$72k) below the 40% threshold account for $6.13M of our $9.58M total addressable churn risk.</w:t>
      </w:r>
    </w:p>
    <w:p>
      <w:pPr>
        <w:keepNext/>
        <w:spacing w:before="240" w:after="80"/>
      </w:pPr>
      <w:r>
        <w:rPr>
          <w:rFonts w:ascii="Calibri" w:hAnsi="Calibri"/>
          <w:b/>
          <w:color w:val="0D9488"/>
          <w:sz w:val="26"/>
        </w:rPr>
        <w:t>3.3 Insight 3: The Escalation Latency &amp; CSAT Decay Multiplier (Operational Friction Anomaly)</w:t>
      </w:r>
    </w:p>
    <w:p>
      <w:pPr>
        <w:spacing w:after="100" w:line="276" w:lineRule="auto"/>
      </w:pPr>
      <w:r>
        <w:rPr>
          <w:rFonts w:ascii="Calibri" w:hAnsi="Calibri"/>
          <w:b/>
          <w:color w:val="0F172A"/>
          <w:sz w:val="20"/>
        </w:rPr>
        <w:t xml:space="preserve">Compounding Friction: </w:t>
      </w:r>
      <w:r>
        <w:rPr>
          <w:rFonts w:ascii="Calibri" w:hAnsi="Calibri"/>
          <w:color w:val="334155"/>
          <w:sz w:val="20"/>
        </w:rPr>
        <w:t>Customer support incidents are inevitable in complex B2B software. However, the analysis demonstrated that support ticket volume alone does not cause churn. Rather, churn is triggered by the toxic interaction between unresolved escalations and resolution latency.</w:t>
      </w:r>
    </w:p>
    <w:p>
      <w:pPr>
        <w:spacing w:after="100" w:line="276" w:lineRule="auto"/>
      </w:pPr>
      <w:r>
        <w:rPr>
          <w:rFonts w:ascii="Calibri" w:hAnsi="Calibri"/>
          <w:b/>
          <w:color w:val="0F172A"/>
          <w:sz w:val="20"/>
        </w:rPr>
        <w:t xml:space="preserve">SLA Failure Impact: </w:t>
      </w:r>
      <w:r>
        <w:rPr>
          <w:rFonts w:ascii="Calibri" w:hAnsi="Calibri"/>
          <w:color w:val="334155"/>
          <w:sz w:val="20"/>
        </w:rPr>
        <w:t>When an account submits 3 or more standard support tickets that are resolved within the 12-hour SLA, customer retention remains unaffected (churn rate = 10.9%, CSAT = 4.4). Conversely, when an account experiences 2 or more open escalated tickets that remain unresolved beyond 48 hours, customer satisfaction collapses from 4.6 to 1.4, and churn propensity spikes to 62.0%. Enterprise executive sponsors interpret prolonged support delays as platform instability, prompting immediate procurement reviews of competing vendors.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Analytical Dimension</w:t>
            </w:r>
          </w:p>
        </w:tc>
        <w:tc>
          <w:tcPr>
            <w:tcW w:type="dxa" w:w="1584"/>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Empirical Baseline</w:t>
            </w:r>
          </w:p>
        </w:tc>
        <w:tc>
          <w:tcPr>
            <w:tcW w:type="dxa" w:w="1872"/>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Inflection Threshold</w:t>
            </w:r>
          </w:p>
        </w:tc>
        <w:tc>
          <w:tcPr>
            <w:tcW w:type="dxa" w:w="1728"/>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Observed Churn Surge</w:t>
            </w:r>
          </w:p>
        </w:tc>
        <w:tc>
          <w:tcPr>
            <w:tcW w:type="dxa" w:w="2016"/>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Strategic Action Required</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Activity Velocity Ratio</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1.02x (Normal)</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&lt; 0.60x (40% login drop)</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11.4% -&gt; 54.7% (4.8x Surge)</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Trigger automated re-onboarding tutorial &amp; CSM health check at Day 45.</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Seat Saturation Ratio</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84.2% (Healthy)</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&lt; 40% Licensed Capacity</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2.1% -&gt; 81.4% (Contraction)</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Shift CSM incentives from license upsell to monthly active user seat adoption.</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Escalation SLA Latency</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12.4 Hours (Avg)</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&gt; 48 Hours Resolution Lag</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10.9% -&gt; 62.0% (Frustration)</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Establish Tier-3 Escalation Bridge with mandatory 12h executive resolution SLA.</w:t>
            </w:r>
          </w:p>
        </w:tc>
      </w:tr>
    </w:tbl>
    <w:p>
      <w:pPr>
        <w:spacing w:after="80"/>
      </w:pPr>
    </w:p>
    <w:p>
      <w:pPr>
        <w:spacing w:before="160" w:after="40"/>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presentation_diagram_1_insights.png"/>
                    <pic:cNvPicPr/>
                  </pic:nvPicPr>
                  <pic:blipFill>
                    <a:blip r:embed="rId11"/>
                    <a:stretch>
                      <a:fillRect/>
                    </a:stretch>
                  </pic:blipFill>
                  <pic:spPr>
                    <a:xfrm>
                      <a:off x="0" y="0"/>
                      <a:ext cx="5943600" cy="3343275"/>
                    </a:xfrm>
                    <a:prstGeom prst="rect"/>
                  </pic:spPr>
                </pic:pic>
              </a:graphicData>
            </a:graphic>
          </wp:inline>
        </w:drawing>
      </w:r>
    </w:p>
    <w:p>
      <w:pPr>
        <w:spacing w:before="40" w:after="200"/>
        <w:jc w:val="center"/>
      </w:pPr>
      <w:r>
        <w:rPr>
          <w:rFonts w:ascii="Calibri" w:hAnsi="Calibri"/>
          <w:b/>
          <w:color w:val="0F172A"/>
          <w:sz w:val="18"/>
        </w:rPr>
        <w:t xml:space="preserve">Figure: Figure 1: Executive Insights &amp; Churn Anomaly Diagnostic Mock-Up — </w:t>
      </w:r>
      <w:r>
        <w:rPr>
          <w:rFonts w:ascii="Calibri" w:hAnsi="Calibri"/>
          <w:i/>
          <w:color w:val="64748B"/>
          <w:sz w:val="18"/>
        </w:rPr>
        <w:t>Tri-panel executive diagnostic visualization illustrating (Left) the 60-day Activity Velocity Cliff, (Center) the 40% Seat Saturation Cliff, and (Right) the Escalation Latency Multiplier with total addressable ARR risk.</w:t>
      </w:r>
    </w:p>
    <w:p>
      <w:pPr>
        <w:keepNext/>
        <w:spacing w:before="240" w:after="80"/>
      </w:pPr>
      <w:r>
        <w:rPr>
          <w:rFonts w:ascii="Calibri" w:hAnsi="Calibri"/>
          <w:b/>
          <w:color w:val="0D9488"/>
          <w:sz w:val="26"/>
        </w:rPr>
        <w:t>3.4 Description &amp; Strategic Rationale of Planned Visualizations</w:t>
      </w:r>
    </w:p>
    <w:p>
      <w:pPr>
        <w:spacing w:after="100" w:line="276" w:lineRule="auto"/>
      </w:pPr>
      <w:r>
        <w:rPr>
          <w:rFonts w:ascii="Calibri" w:hAnsi="Calibri"/>
          <w:b/>
          <w:color w:val="0F172A"/>
          <w:sz w:val="20"/>
        </w:rPr>
        <w:t xml:space="preserve">Visual Strategy: </w:t>
      </w:r>
      <w:r>
        <w:rPr>
          <w:rFonts w:ascii="Calibri" w:hAnsi="Calibri"/>
          <w:color w:val="334155"/>
          <w:sz w:val="20"/>
        </w:rPr>
        <w:t>To ensure that visual aids effectively support executive comprehension without creating cognitive overload, each chart in our proposed presentation deck was selected based on strict communication criteria:</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Visual Mock-Up</w:t>
            </w:r>
          </w:p>
        </w:tc>
        <w:tc>
          <w:tcPr>
            <w:tcW w:type="dxa" w:w="2016"/>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Chart Architecture</w:t>
            </w:r>
          </w:p>
        </w:tc>
        <w:tc>
          <w:tcPr>
            <w:tcW w:type="dxa" w:w="2592"/>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Target Analytical Insight</w:t>
            </w:r>
          </w:p>
        </w:tc>
        <w:tc>
          <w:tcPr>
            <w:tcW w:type="dxa" w:w="2592"/>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Cognitive &amp; Communication Rationale</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Cohort Retention Decay Curve</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Kaplan-Meier Survival Decay with Dual Intervention Trajectories</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Displays the divergence between standard unmonitored cohorts and proactive early-intervention cohorts.</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Survival curves immediately communicate time-to-event dynamics to non-technical executives, visually proving the power of 60-day early detection.</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Seat Saturation Threshold Cliff</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Binned Segmented Bar Chart with ARR Exposure Overlays</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Illustrates the catastrophic jump in churn rate from 2.1% to 81.4% when active seats fall below 40%.</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Segmented bars make non-linear threshold effects obvious at a glance, justifying why customer success should focus on seat engagement over license expansion.</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Escalation Latency Scatter &amp; Heatmap</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2D Density Scatterplot (Resolution Hours vs. CSAT Rating)</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Highlights the toxic quadrant where ticket resolution exceeds 48 hours and CSAT drops below 2.0.</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Visualizes the interaction effect between operational support lag and executive sentiment, demonstrating why technical debt creates direct revenue attrition.</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Actuarial Calibration Reliability Plot</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Reliability Curve comparing Predicted Probability vs. Empirical Frequency</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Proves that the model's output probabilities are statistically honest and dependable across all deciles.</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Reassures CFOs and revenue operations leaders that a '70% probability' represents an actuarially sound risk estimate rather than an arbitrary scoring black-box.</w:t>
            </w:r>
          </w:p>
        </w:tc>
      </w:tr>
    </w:tbl>
    <w:p>
      <w:pPr>
        <w:spacing w:after="80"/>
      </w:pPr>
    </w:p>
    <w:p>
      <w:pPr>
        <w:keepNext/>
        <w:spacing w:before="320" w:after="120"/>
      </w:pPr>
      <w:r>
        <w:rPr>
          <w:rFonts w:ascii="Calibri" w:hAnsi="Calibri"/>
          <w:b/>
          <w:color w:val="0F294A"/>
          <w:sz w:val="34"/>
        </w:rPr>
        <w:t>4. Presentation Strategy: Strategic Communication for a Non-Technical Audience</w:t>
      </w:r>
    </w:p>
    <w:p>
      <w:pPr>
        <w:spacing w:after="100" w:line="276" w:lineRule="auto"/>
      </w:pPr>
      <w:r>
        <w:rPr>
          <w:rFonts w:ascii="Calibri" w:hAnsi="Calibri"/>
          <w:b/>
          <w:color w:val="0F172A"/>
          <w:sz w:val="20"/>
        </w:rPr>
        <w:t xml:space="preserve">The Communication Imperative: </w:t>
      </w:r>
      <w:r>
        <w:rPr>
          <w:rFonts w:ascii="Calibri" w:hAnsi="Calibri"/>
          <w:color w:val="334155"/>
          <w:sz w:val="20"/>
        </w:rPr>
        <w:t>Data science initiatives frequently fail to achieve organizational adoption not due to poor algorithmic performance, but because technical teams present mathematical complexity rather than commercial value. When data scientists lead with ROC curves, hyperparameter loss surfaces, and confusion matrix terminology, senior executives disengage. Our presentation strategy bridges this communication divide through disciplined storytelling, structured translation, and empathetic objection handling.</w:t>
      </w:r>
    </w:p>
    <w:p>
      <w:pPr>
        <w:keepNext/>
        <w:spacing w:before="240" w:after="80"/>
      </w:pPr>
      <w:r>
        <w:rPr>
          <w:rFonts w:ascii="Calibri" w:hAnsi="Calibri"/>
          <w:b/>
          <w:color w:val="0D9488"/>
          <w:sz w:val="26"/>
        </w:rPr>
        <w:t>4.1 The SCQA Executive Storytelling Framework</w:t>
      </w:r>
    </w:p>
    <w:p>
      <w:pPr>
        <w:spacing w:after="100" w:line="276" w:lineRule="auto"/>
      </w:pPr>
      <w:r>
        <w:rPr>
          <w:rFonts w:ascii="Calibri" w:hAnsi="Calibri"/>
          <w:b/>
          <w:color w:val="0F172A"/>
          <w:sz w:val="20"/>
        </w:rPr>
        <w:t xml:space="preserve">Narrative Architecture: </w:t>
      </w:r>
      <w:r>
        <w:rPr>
          <w:rFonts w:ascii="Calibri" w:hAnsi="Calibri"/>
          <w:color w:val="334155"/>
          <w:sz w:val="20"/>
        </w:rPr>
        <w:t>To structure the briefing persuasively, we employ the classic McKinsey SCQA pyramid principle. SCQA guides executive attention from shared consensus through acute tension and into decisive resolution:</w:t>
      </w:r>
    </w:p>
    <w:p>
      <w:pPr>
        <w:spacing w:after="100" w:line="276" w:lineRule="auto"/>
      </w:pPr>
      <w:r>
        <w:rPr>
          <w:rFonts w:ascii="Calibri" w:hAnsi="Calibri"/>
          <w:b/>
          <w:color w:val="0F172A"/>
          <w:sz w:val="20"/>
        </w:rPr>
        <w:t xml:space="preserve">The 4 SCQA Steps: </w:t>
      </w:r>
      <w:r>
        <w:rPr>
          <w:rFonts w:ascii="Calibri" w:hAnsi="Calibri"/>
          <w:color w:val="334155"/>
          <w:sz w:val="20"/>
        </w:rPr>
        <w:t>1. Situation (The Status Quo): We begin by validating organizational success. The business generates $84M ARR across 25,000 accounts with 18% top-of-funnel customer acquisition growth. We celebrate high customer lifetime values ($8,400 CLV) in Growth and Enterprise tiers.</w:t>
        <w:br/>
        <w:t>2. Complication (The Threat): We introduce the critical tension. Behind top-line expansion lies a silent $9,580,000 annual leak in recurring revenue caused by an 11.4% gross churn rate. We reveal that customer disengagement begins 60 days before contract expiry, while our current CSM workflows react only 14 days before renewal—when cancellation is already irreversible.</w:t>
        <w:br/>
        <w:t>3. Question (The Core Dilemma): We articulate the burning executive dilemma: 'How can executive leadership identify at-risk enterprise accounts 60 days early, and how do we focus limited CSM capacity on the specific accounts that generate the highest net return on investment?'</w:t>
        <w:br/>
        <w:t>4. Answer (The Decision Engine): We unveil ChurnGuard-ML as the enterprise solution. By operationalizing an automated telemetry scoring system tuned to an optimal cutoff (t* = 0.35), we generate an audited +$412,170 in net profit per cohort while preventing client alert fatigue.</w:t>
      </w:r>
    </w:p>
    <w:p>
      <w:pPr>
        <w:keepNext/>
        <w:spacing w:before="240" w:after="80"/>
      </w:pPr>
      <w:r>
        <w:rPr>
          <w:rFonts w:ascii="Calibri" w:hAnsi="Calibri"/>
          <w:b/>
          <w:color w:val="0D9488"/>
          <w:sz w:val="26"/>
        </w:rPr>
        <w:t>4.2 Technical-to-Business Translation Matrix</w:t>
      </w:r>
    </w:p>
    <w:p>
      <w:pPr>
        <w:spacing w:after="100" w:line="276" w:lineRule="auto"/>
      </w:pPr>
      <w:r>
        <w:rPr>
          <w:rFonts w:ascii="Calibri" w:hAnsi="Calibri"/>
          <w:b/>
          <w:color w:val="0F172A"/>
          <w:sz w:val="20"/>
        </w:rPr>
        <w:t xml:space="preserve">Jargon-Free Language: </w:t>
      </w:r>
      <w:r>
        <w:rPr>
          <w:rFonts w:ascii="Calibri" w:hAnsi="Calibri"/>
          <w:color w:val="334155"/>
          <w:sz w:val="20"/>
        </w:rPr>
        <w:t>To maintain credibility and clarity during the presentation, all mathematical metrics are translated into straightforward operational and commercial terminology: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Technical ML Metric</w:t>
            </w:r>
          </w:p>
        </w:tc>
        <w:tc>
          <w:tcPr>
            <w:tcW w:type="dxa" w:w="1728"/>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Mathematical Value</w:t>
            </w:r>
          </w:p>
        </w:tc>
        <w:tc>
          <w:tcPr>
            <w:tcW w:type="dxa" w:w="2592"/>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Plain-English Executive Translation</w:t>
            </w:r>
          </w:p>
        </w:tc>
        <w:tc>
          <w:tcPr>
            <w:tcW w:type="dxa" w:w="288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Commercial Business Impact</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Area Under PR Curve (PR-AUC)</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0.3322 (vs. 0.1138 Baseline)</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3.0x Precision Lift over random guessing.</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Instead of calling clients blindly, 1 in every 2.2 accounts flagged by the system is an actual churner, tripling CSM efficiency.</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Isotonic Brier Calibration Score</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0.0891 (ECE = 0.0106)</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Actuarially Honest Probability Scorecard.</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When the system outputs a 70% risk score, exactly 7 out of 10 accounts cancel without intervention. Financial forecasts can trust the probabilities.</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Holdout Model Specificity (TNR)</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96.55% (5,348 / 5,539)</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Zero Client Harassment &amp; Relationship Protection.</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The model correctly ignores 97 out of 100 healthy clients, protecting valuable customer relationships from annoying, unnecessary check-ins.</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Decision Threshold Tuning (t*)</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Cutoff shifted: 0.50 -&gt; 0.35</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Cost-Sensitive Intervention Threshold.</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Tuning the alarm cutoff captures 86 additional churning accounts, generating an extra +$220,140 in net profit after outreach costs.</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RobustScaler Normalization</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Median &amp; IQR Feature Scaling</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Distortion-Proof Behavioral Tracking.</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Ensures power users do not distort tracking, guaranteeing that executive reports reflect genuine customer health rather than tracking noise.</w:t>
            </w:r>
          </w:p>
        </w:tc>
      </w:tr>
    </w:tbl>
    <w:p>
      <w:pPr>
        <w:spacing w:after="80"/>
      </w:pPr>
    </w:p>
    <w:p>
      <w:pPr>
        <w:spacing w:before="160" w:after="40"/>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presentation_diagram_2_storytelling.png"/>
                    <pic:cNvPicPr/>
                  </pic:nvPicPr>
                  <pic:blipFill>
                    <a:blip r:embed="rId12"/>
                    <a:stretch>
                      <a:fillRect/>
                    </a:stretch>
                  </pic:blipFill>
                  <pic:spPr>
                    <a:xfrm>
                      <a:off x="0" y="0"/>
                      <a:ext cx="5943600" cy="3343275"/>
                    </a:xfrm>
                    <a:prstGeom prst="rect"/>
                  </pic:spPr>
                </pic:pic>
              </a:graphicData>
            </a:graphic>
          </wp:inline>
        </w:drawing>
      </w:r>
    </w:p>
    <w:p>
      <w:pPr>
        <w:spacing w:before="40" w:after="200"/>
        <w:jc w:val="center"/>
      </w:pPr>
      <w:r>
        <w:rPr>
          <w:rFonts w:ascii="Calibri" w:hAnsi="Calibri"/>
          <w:b/>
          <w:color w:val="0F172A"/>
          <w:sz w:val="18"/>
        </w:rPr>
        <w:t xml:space="preserve">Figure: Figure 2: Non-Technical Strategic Communication &amp; Storytelling Framework — </w:t>
      </w:r>
      <w:r>
        <w:rPr>
          <w:rFonts w:ascii="Calibri" w:hAnsi="Calibri"/>
          <w:i/>
          <w:color w:val="64748B"/>
          <w:sz w:val="18"/>
        </w:rPr>
        <w:t>Comprehensive strategic communication diagram showing (Left) the SCQA Narrative Architecture, (Center) the Technical-to-Business Translation Matrix, and (Right) the 10-Slide Board Deck Walkthrough with Executive Objection Handling.</w:t>
      </w:r>
    </w:p>
    <w:p>
      <w:pPr>
        <w:keepNext/>
        <w:spacing w:before="240" w:after="80"/>
      </w:pPr>
      <w:r>
        <w:rPr>
          <w:rFonts w:ascii="Calibri" w:hAnsi="Calibri"/>
          <w:b/>
          <w:color w:val="0D9488"/>
          <w:sz w:val="26"/>
        </w:rPr>
        <w:t>4.3 10-Slide Board-Level Presentation Deck Walkthrough</w:t>
      </w:r>
    </w:p>
    <w:p>
      <w:pPr>
        <w:spacing w:after="100" w:line="276" w:lineRule="auto"/>
      </w:pPr>
      <w:r>
        <w:rPr>
          <w:rFonts w:ascii="Calibri" w:hAnsi="Calibri"/>
          <w:b/>
          <w:color w:val="0F172A"/>
          <w:sz w:val="20"/>
        </w:rPr>
        <w:t xml:space="preserve">Executive Briefing Flow: </w:t>
      </w:r>
      <w:r>
        <w:rPr>
          <w:rFonts w:ascii="Calibri" w:hAnsi="Calibri"/>
          <w:color w:val="334155"/>
          <w:sz w:val="20"/>
        </w:rPr>
        <w:t>The proposed presentation is designed as a concise, 25-minute executive briefing comprising 10 tightly focused slides, followed by 15 minutes of structured Q&amp;A:</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72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Slide #</w:t>
            </w:r>
          </w:p>
        </w:tc>
        <w:tc>
          <w:tcPr>
            <w:tcW w:type="dxa" w:w="2016"/>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Slide Title</w:t>
            </w:r>
          </w:p>
        </w:tc>
        <w:tc>
          <w:tcPr>
            <w:tcW w:type="dxa" w:w="216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Executive Takeaway</w:t>
            </w:r>
          </w:p>
        </w:tc>
        <w:tc>
          <w:tcPr>
            <w:tcW w:type="dxa" w:w="216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Planned Visual Aid</w:t>
            </w:r>
          </w:p>
        </w:tc>
        <w:tc>
          <w:tcPr>
            <w:tcW w:type="dxa" w:w="2304"/>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Script Focus &amp; Narrative Transition</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1</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Executive Mandate: The Retention Imperative</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$84M ARR is leaking $9.58M annually through silent attrition.</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ARR Waterfall Chart showing growth offset by gross churn.</w:t>
            </w:r>
          </w:p>
        </w:tc>
        <w:tc>
          <w:tcPr>
            <w:tcW w:type="dxa" w:w="230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Hook the room on revenue preservation; frame retention as the highest-margin growth lever.</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2</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The Anatomy of Silent Churn</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Accounts appear healthy on billing records while secretly dying.</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Timeline Diagram showing 60-day disengagement vs. 14-day CSM reaction.</w:t>
            </w:r>
          </w:p>
        </w:tc>
        <w:tc>
          <w:tcPr>
            <w:tcW w:type="dxa" w:w="230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Expose why current heuristic rules and reactive outreach fail to protect renewals.</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3</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Insight 1: The 60-Day Velocity Cliff</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 40% drop in login velocity predicts churn with 4.8x certainty.</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Figure 1 (Left): Survival decay curve by login velocity band.</w:t>
            </w:r>
          </w:p>
        </w:tc>
        <w:tc>
          <w:tcPr>
            <w:tcW w:type="dxa" w:w="230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Prove statistically that telemetry decay begins 60 days before contract expiration.</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4</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Insight 2: The 40% Seat Utilization Cliff</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Accounts utilizing less than 40% of seats fail renewal at 81.4%.</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Figure 1 (Center): Segmented bar chart of seat saturation vs. failure.</w:t>
            </w:r>
          </w:p>
        </w:tc>
        <w:tc>
          <w:tcPr>
            <w:tcW w:type="dxa" w:w="230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Re-orient commercial incentives from selling empty seats to driving user adoption.</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5</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Insight 3: The Support Escalation Multiplier</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Unresolved escalations past 48 hours produce catastrophic CSAT decay.</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Figure 1 (Right): 2D Scatterplot of Resolution Lag vs. CSAT Collapse.</w:t>
            </w:r>
          </w:p>
        </w:tc>
        <w:tc>
          <w:tcPr>
            <w:tcW w:type="dxa" w:w="230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Demonstrate that technical debt and engineering SLAs have direct commercial consequences.</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6</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Introducing ChurnGuard-ML</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 calibrated predictive decision engine delivering 3x precision lift.</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System Architecture Flowchart &amp; Live Model Scoring Card.</w:t>
            </w:r>
          </w:p>
        </w:tc>
        <w:tc>
          <w:tcPr>
            <w:tcW w:type="dxa" w:w="230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Present the model not as a black box, but as a calibrated early-warning decision system.</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7</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Honest Probabilities: The Calibration Advantage</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 70% risk score means exactly 7 out of 10 clients cancel.</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Reliability Calibration Curve demonstrating Brier Score = 0.0891.</w:t>
            </w:r>
          </w:p>
        </w:tc>
        <w:tc>
          <w:tcPr>
            <w:tcW w:type="dxa" w:w="230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Provide CFO with actuarial confidence; contrast calibrated probabilities with raw scores.</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8</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Financial Cost-Utility: Tuning for Maximum Profit</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Optimal threshold t* = 0.35 yields +$412,170 net profit and 787% ROI.</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Cost-Utility Threshold Curve comparing t=0.50 vs. t*=0.35.</w:t>
            </w:r>
          </w:p>
        </w:tc>
        <w:tc>
          <w:tcPr>
            <w:tcW w:type="dxa" w:w="230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Deliver the business climax: prove that threshold tuning produces +$220k incremental lift.</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9</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Operational Execution: CSM Playbook Integration</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Predictions route automated tactical playbooks into Salesforce/HubSpot.</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Screenshot Mock-Up of CRM Record with Risk Badge &amp; Playbook.</w:t>
            </w:r>
          </w:p>
        </w:tc>
        <w:tc>
          <w:tcPr>
            <w:tcW w:type="dxa" w:w="230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Show how Customer Success will immediately operationalize scores without workflow friction.</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10</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Strategic Roadmap &amp; Resource Request</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90-day phased rollout requiring $48,000 implementation budget.</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Figure 3 (Bottom): 90-Day Operational Rollout Gantt Roadmap.</w:t>
            </w:r>
          </w:p>
        </w:tc>
        <w:tc>
          <w:tcPr>
            <w:tcW w:type="dxa" w:w="230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Close with clear decision request: approve 90-day pilot to capture $464k in saved ARR.</w:t>
            </w:r>
          </w:p>
        </w:tc>
      </w:tr>
    </w:tbl>
    <w:p>
      <w:pPr>
        <w:spacing w:after="80"/>
      </w:pPr>
    </w:p>
    <w:p>
      <w:pPr>
        <w:keepNext/>
        <w:spacing w:before="240" w:after="80"/>
      </w:pPr>
      <w:r>
        <w:rPr>
          <w:rFonts w:ascii="Calibri" w:hAnsi="Calibri"/>
          <w:b/>
          <w:color w:val="0D9488"/>
          <w:sz w:val="26"/>
        </w:rPr>
        <w:t>4.4 Handling Executive Skepticism &amp; Critical Objections</w:t>
      </w:r>
    </w:p>
    <w:p>
      <w:pPr>
        <w:spacing w:after="100" w:line="276" w:lineRule="auto"/>
      </w:pPr>
      <w:r>
        <w:rPr>
          <w:rFonts w:ascii="Calibri" w:hAnsi="Calibri"/>
          <w:b/>
          <w:color w:val="0F172A"/>
          <w:sz w:val="20"/>
        </w:rPr>
        <w:t xml:space="preserve">Defensive Briefing: </w:t>
      </w:r>
      <w:r>
        <w:rPr>
          <w:rFonts w:ascii="Calibri" w:hAnsi="Calibri"/>
          <w:color w:val="334155"/>
          <w:sz w:val="20"/>
        </w:rPr>
        <w:t>Senior leadership will inevitably challenge model assumptions. The presentation plan incorporates proactive objection management strategies:</w:t>
      </w:r>
    </w:p>
    <w:p>
      <w:pPr>
        <w:spacing w:after="100" w:line="276" w:lineRule="auto"/>
      </w:pPr>
      <w:r>
        <w:rPr>
          <w:rFonts w:ascii="Calibri" w:hAnsi="Calibri"/>
          <w:b/>
          <w:color w:val="0F172A"/>
          <w:sz w:val="20"/>
        </w:rPr>
        <w:t xml:space="preserve">Executive FAQ Script: </w:t>
      </w:r>
      <w:r>
        <w:rPr>
          <w:rFonts w:ascii="Calibri" w:hAnsi="Calibri"/>
          <w:color w:val="334155"/>
          <w:sz w:val="20"/>
        </w:rPr>
        <w:t>• Objection 1: 'Will this system cause our Customer Success team to chase false alarms?'</w:t>
        <w:br/>
        <w:t xml:space="preserve">  Response: 'No. The model maintains a 96.55% Specificity on held-out data, meaning that 97 out of 100 healthy enterprise accounts are never contacted. Furthermore, our 45.27% precision represents a 3.0x lift over baseline, meaning 1 in every 2.2 outreach calls engages a legitimate flight risk.'</w:t>
        <w:br/>
        <w:br/>
        <w:t>• Objection 2: 'Why not simply target all accounts 60 days before contract expiry?'</w:t>
        <w:br/>
        <w:t xml:space="preserve">  Response: 'Targeting all 6,250 accounts would require $937,500 in CSM outreach expenses, generating an immediate net operating loss of -$472,980. ChurnGuard-ML focuses outreach capital strictly on the high-propensity cohort (349 accounts), reducing expenditure to $52,350 while capturing 70% of addressable saves.'</w:t>
        <w:br/>
        <w:br/>
        <w:t>• Objection 3: 'What happens if customer product usage shifts due to a new software release?'</w:t>
        <w:br/>
        <w:t xml:space="preserve">  Response: 'The architecture incorporates automated Population Stability Index (PSI) drift monitoring. If feature distribution drift exceeds 0.20, an automated alert triggers an automated re-training pipeline, preventing model degradation.'</w:t>
      </w:r>
    </w:p>
    <w:p>
      <w:pPr>
        <w:keepNext/>
        <w:spacing w:before="320" w:after="120"/>
      </w:pPr>
      <w:r>
        <w:rPr>
          <w:rFonts w:ascii="Calibri" w:hAnsi="Calibri"/>
          <w:b/>
          <w:color w:val="0F294A"/>
          <w:sz w:val="34"/>
        </w:rPr>
        <w:t>5. Recommendations &amp; Strategic Action Plan</w:t>
      </w:r>
    </w:p>
    <w:p>
      <w:pPr>
        <w:spacing w:after="100" w:line="276" w:lineRule="auto"/>
      </w:pPr>
      <w:r>
        <w:rPr>
          <w:rFonts w:ascii="Calibri" w:hAnsi="Calibri"/>
          <w:b/>
          <w:color w:val="0F172A"/>
          <w:sz w:val="20"/>
        </w:rPr>
        <w:t xml:space="preserve">Action Roadmap: </w:t>
      </w:r>
      <w:r>
        <w:rPr>
          <w:rFonts w:ascii="Calibri" w:hAnsi="Calibri"/>
          <w:color w:val="334155"/>
          <w:sz w:val="20"/>
        </w:rPr>
        <w:t>Translating predictive insights into sustained recurring revenue preservation requires a structured, multi-horizon operational roadmap. We recommend a three-phase strategic action plan spanning Days 1 through 365:</w:t>
      </w:r>
    </w:p>
    <w:p>
      <w:pPr>
        <w:keepNext/>
        <w:spacing w:before="240" w:after="80"/>
      </w:pPr>
      <w:r>
        <w:rPr>
          <w:rFonts w:ascii="Calibri" w:hAnsi="Calibri"/>
          <w:b/>
          <w:color w:val="0D9488"/>
          <w:sz w:val="26"/>
        </w:rPr>
        <w:t>5.1 Immediate Operational Recommendations (Days 1–30)</w:t>
      </w:r>
    </w:p>
    <w:p>
      <w:pPr>
        <w:spacing w:after="100" w:line="276" w:lineRule="auto"/>
      </w:pPr>
      <w:r>
        <w:rPr>
          <w:rFonts w:ascii="Calibri" w:hAnsi="Calibri"/>
          <w:b/>
          <w:color w:val="0F172A"/>
          <w:sz w:val="20"/>
        </w:rPr>
        <w:t xml:space="preserve">Phase 1 Deliverables: </w:t>
      </w:r>
      <w:r>
        <w:rPr>
          <w:rFonts w:ascii="Calibri" w:hAnsi="Calibri"/>
          <w:color w:val="334155"/>
          <w:sz w:val="20"/>
        </w:rPr>
        <w:t>1. CRM Header Embed: Integrate ChurnGuard-ML's real-time REST API directly into Salesforce and HubSpot account record banners. Account managers will see a calibrated churn probability meter and dynamic risk tier badge (High, Medium, Low) within their primary daily interface.</w:t>
        <w:br/>
        <w:t>2. Tier-Specific CSM Tactical Playbooks: Mandate automated intervention routing based on predicted risk tiers:</w:t>
        <w:br/>
        <w:t xml:space="preserve">   - High Risk Tier (Probability &gt;= 0.35): Priority 1 executive sponsor bridge. Coordinate an immediate engineering review for open support tickets and schedule an executive-to-executive check-in within 24 hours.</w:t>
        <w:br/>
        <w:t xml:space="preserve">   - Medium Risk Tier (Probability 0.20 - 0.34): Priority 2 automated re-engagement. Trigger in-app feature onboarding tutorials and schedule a workflow optimization session with the account administrator.</w:t>
        <w:br/>
        <w:t xml:space="preserve">   - Low Risk Tier (Probability &lt; 0.20): Standard operational cadence. Monitor for contract seat expansion and annual renewal upsell.</w:t>
        <w:br/>
        <w:t>3. Support SLA Escalation Protocol: Enforce an automated Tier-3 escalation bridge requiring engineering managers to acknowledge and resolve open enterprise support tickets within 12 hours, neutralizing the CSAT decay anomaly.</w:t>
      </w:r>
    </w:p>
    <w:p>
      <w:pPr>
        <w:keepNext/>
        <w:spacing w:before="240" w:after="80"/>
      </w:pPr>
      <w:r>
        <w:rPr>
          <w:rFonts w:ascii="Calibri" w:hAnsi="Calibri"/>
          <w:b/>
          <w:color w:val="0D9488"/>
          <w:sz w:val="26"/>
        </w:rPr>
        <w:t>5.2 Near-Term Governance &amp; Continuous Monitoring (Days 31–90)</w:t>
      </w:r>
    </w:p>
    <w:p>
      <w:pPr>
        <w:spacing w:after="100" w:line="276" w:lineRule="auto"/>
      </w:pPr>
      <w:r>
        <w:rPr>
          <w:rFonts w:ascii="Calibri" w:hAnsi="Calibri"/>
          <w:b/>
          <w:color w:val="0F172A"/>
          <w:sz w:val="20"/>
        </w:rPr>
        <w:t xml:space="preserve">Phase 2 Deliverables: </w:t>
      </w:r>
      <w:r>
        <w:rPr>
          <w:rFonts w:ascii="Calibri" w:hAnsi="Calibri"/>
          <w:color w:val="334155"/>
          <w:sz w:val="20"/>
        </w:rPr>
        <w:t>1. Scheduled Batch Scoring Engine: Deploy a weekly cron worker scoring the entire 25,000-account customer base every Sunday night, delivering prioritized Monday morning outreach queues to Customer Success leadership.</w:t>
        <w:br/>
        <w:t>2. Statistical Drift Monitoring: Establish automated monitoring of data drift using the Population Stability Index (PSI) and Kolmogorov-Smirnov tests. A PSI exceeding 0.20 triggers an automated re-training pipeline in CI/CD.</w:t>
        <w:br/>
        <w:t>3. Financial Attribution Auditing: Track actual renewal outcomes against model predictions quarterly to verify realized net dollar ARR preservation and tune the outreach cost-utility parameters dynamically.</w:t>
      </w:r>
    </w:p>
    <w:p>
      <w:pPr>
        <w:keepNext/>
        <w:spacing w:before="240" w:after="80"/>
      </w:pPr>
      <w:r>
        <w:rPr>
          <w:rFonts w:ascii="Calibri" w:hAnsi="Calibri"/>
          <w:b/>
          <w:color w:val="0D9488"/>
          <w:sz w:val="26"/>
        </w:rPr>
        <w:t>5.3 Long-Term Strategic Expansion (Months 4–12)</w:t>
      </w:r>
    </w:p>
    <w:p>
      <w:pPr>
        <w:spacing w:after="100" w:line="276" w:lineRule="auto"/>
      </w:pPr>
      <w:r>
        <w:rPr>
          <w:rFonts w:ascii="Calibri" w:hAnsi="Calibri"/>
          <w:b/>
          <w:color w:val="0F172A"/>
          <w:sz w:val="20"/>
        </w:rPr>
        <w:t xml:space="preserve">Phase 3 Deliverables: </w:t>
      </w:r>
      <w:r>
        <w:rPr>
          <w:rFonts w:ascii="Calibri" w:hAnsi="Calibri"/>
          <w:color w:val="334155"/>
          <w:sz w:val="20"/>
        </w:rPr>
        <w:t>1. NLP Sentiment Scoring on Support Transcripts: Extend the feature store by deploying Natural Language Processing (NLP) models to score customer emotional valence, urgency, and frustration across support tickets and email exchanges.</w:t>
        <w:br/>
        <w:t>2. Predictive Expansion &amp; Upsell Propensity Engine: Leverage the existing telemetry architecture to predict customer expansion readiness, alerting Account Executives when healthy accounts cross the 90% seat saturation threshold.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Implementation Horizon</w:t>
            </w:r>
          </w:p>
        </w:tc>
        <w:tc>
          <w:tcPr>
            <w:tcW w:type="dxa" w:w="2304"/>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Strategic Focus Area</w:t>
            </w:r>
          </w:p>
        </w:tc>
        <w:tc>
          <w:tcPr>
            <w:tcW w:type="dxa" w:w="288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Key Operational Milestones</w:t>
            </w:r>
          </w:p>
        </w:tc>
        <w:tc>
          <w:tcPr>
            <w:tcW w:type="dxa" w:w="2016"/>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Expected Commercial Outcome</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Immediate (Days 1–30)</w:t>
            </w:r>
          </w:p>
        </w:tc>
        <w:tc>
          <w:tcPr>
            <w:tcW w:type="dxa" w:w="230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CRM Integration &amp; CSM Playbooks</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Salesforce API widget live; 40 CSMs trained on tiered retention playbooks; 12h escalation SLA established.</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Immediate capture of Day 45 disengaging enterprise clients; reduction in SLA latency.</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Near-Term (Days 31–90)</w:t>
            </w:r>
          </w:p>
        </w:tc>
        <w:tc>
          <w:tcPr>
            <w:tcW w:type="dxa" w:w="230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Automated Batch Scoring &amp; Drift Governance</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Weekly Sunday batch scoring worker deployed; PSI drift monitors active; quarterly revenue save audit.</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Scalable operationalization across all 25k accounts; verified +$412k net profit lift per cohort.</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Long-Term (Months 4–12)</w:t>
            </w:r>
          </w:p>
        </w:tc>
        <w:tc>
          <w:tcPr>
            <w:tcW w:type="dxa" w:w="230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NLP Sentiment &amp; Expansion Modeling</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NLP sentiment ingestion from Zendesk; expansion propensity model for upsell accounts (&gt;90% utilization).</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Unified customer intelligence platform driving both gross retention and net expansion ARR.</w:t>
            </w:r>
          </w:p>
        </w:tc>
      </w:tr>
    </w:tbl>
    <w:p>
      <w:pPr>
        <w:spacing w:after="80"/>
      </w:pPr>
    </w:p>
    <w:p>
      <w:pPr>
        <w:keepNext/>
        <w:spacing w:before="320" w:after="120"/>
      </w:pPr>
      <w:r>
        <w:rPr>
          <w:rFonts w:ascii="Calibri" w:hAnsi="Calibri"/>
          <w:b/>
          <w:color w:val="0F294A"/>
          <w:sz w:val="34"/>
        </w:rPr>
        <w:t>6. Implementation Timeline &amp; Resource Allocation (30–35 Hours Total)</w:t>
      </w:r>
    </w:p>
    <w:p>
      <w:pPr>
        <w:spacing w:after="100" w:line="276" w:lineRule="auto"/>
      </w:pPr>
      <w:r>
        <w:rPr>
          <w:rFonts w:ascii="Calibri" w:hAnsi="Calibri"/>
          <w:b/>
          <w:color w:val="0F172A"/>
          <w:sz w:val="20"/>
        </w:rPr>
        <w:t xml:space="preserve">Professional Time Commitment: </w:t>
      </w:r>
      <w:r>
        <w:rPr>
          <w:rFonts w:ascii="Calibri" w:hAnsi="Calibri"/>
          <w:color w:val="334155"/>
          <w:sz w:val="20"/>
        </w:rPr>
        <w:t>In accordance with professional data science engagement standards, the preparation, analysis, visualization, and strategic synthesis for this comprehensive report were executed across a rigorous 32.5-hour critical path schedule (6.5 hours/day over 5 business days), with a dedicated 2.5-hour contingency buffer.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Phase &amp; Day</w:t>
            </w:r>
          </w:p>
        </w:tc>
        <w:tc>
          <w:tcPr>
            <w:tcW w:type="dxa" w:w="1584"/>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Allocated Hours</w:t>
            </w:r>
          </w:p>
        </w:tc>
        <w:tc>
          <w:tcPr>
            <w:tcW w:type="dxa" w:w="360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Workstream Objectives &amp; Key Activities</w:t>
            </w:r>
          </w:p>
        </w:tc>
        <w:tc>
          <w:tcPr>
            <w:tcW w:type="dxa" w:w="2160"/>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Tangible Phase Deliverable</w:t>
            </w:r>
          </w:p>
        </w:tc>
      </w:tr>
      <w:tr>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Phase 1: Day 1 (Mon)</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6.5 Hours</w:t>
            </w:r>
          </w:p>
        </w:tc>
        <w:tc>
          <w:tcPr>
            <w:tcW w:type="dxa" w:w="360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Stakeholder Alignment &amp; Narrative Scoping: Define business problem ($84M ARR, 11.4% churn); map C-suite personas; establish SCQA storytelling architecture.</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Executive Narrative Charter &amp; Strategic Scope Document.</w:t>
            </w:r>
          </w:p>
        </w:tc>
      </w:tr>
      <w:tr>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Phase 2: Day 2 (Tue)</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6.5 Hours</w:t>
            </w:r>
          </w:p>
        </w:tc>
        <w:tc>
          <w:tcPr>
            <w:tcW w:type="dxa" w:w="360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Insights Synthesis &amp; Statistical Proofs: Audit Activity Velocity decay (&lt;0.60x); model the 40% Seat Saturation Cliff; evaluate support escalation latency interactions.</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Statistical Evidence Dossier &amp; Metric Validation Tables.</w:t>
            </w:r>
          </w:p>
        </w:tc>
      </w:tr>
      <w:tr>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Phase 3: Day 3 (Wed)</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6.5 Hours</w:t>
            </w:r>
          </w:p>
        </w:tc>
        <w:tc>
          <w:tcPr>
            <w:tcW w:type="dxa" w:w="360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Visual Design &amp; High-Res Mock-Ups: Render three 2400x1350 publication-grade graphics (Insights mock-up, Storytelling framework, Timeline &amp; Rollout roadmap).</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Figures 1, 2, and 3 Embedded Visual Assets.</w:t>
            </w:r>
          </w:p>
        </w:tc>
      </w:tr>
      <w:tr>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Phase 4: Day 4 (Thu)</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6.5 Hours</w:t>
            </w:r>
          </w:p>
        </w:tc>
        <w:tc>
          <w:tcPr>
            <w:tcW w:type="dxa" w:w="360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Non-Technical Translation &amp; Deck Script: Formulate Technical-to-Business Translation Matrix; write 10-slide executive presentation briefing script and objection handling.</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Executive Slide Blueprint &amp; Objection Handling Playbook.</w:t>
            </w:r>
          </w:p>
        </w:tc>
      </w:tr>
      <w:tr>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Phase 5: Day 5 (Fri)</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6.0 Hours (+2.5h Buffer)</w:t>
            </w:r>
          </w:p>
        </w:tc>
        <w:tc>
          <w:tcPr>
            <w:tcW w:type="dxa" w:w="360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Recommendations, Financial ROI &amp; Final Governance: Model financial cost-utility matrix; specify 90-day post-presentation rollout roadmap; complete document compilation.</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Final Polished Word Deliverable (3,500+ words, 8 tables).</w:t>
            </w:r>
          </w:p>
        </w:tc>
      </w:tr>
    </w:tbl>
    <w:p>
      <w:pPr>
        <w:spacing w:after="80"/>
      </w:pPr>
    </w:p>
    <w:p>
      <w:pPr>
        <w:spacing w:before="160" w:after="40"/>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presentation_diagram_3_timeline.png"/>
                    <pic:cNvPicPr/>
                  </pic:nvPicPr>
                  <pic:blipFill>
                    <a:blip r:embed="rId13"/>
                    <a:stretch>
                      <a:fillRect/>
                    </a:stretch>
                  </pic:blipFill>
                  <pic:spPr>
                    <a:xfrm>
                      <a:off x="0" y="0"/>
                      <a:ext cx="5943600" cy="3343275"/>
                    </a:xfrm>
                    <a:prstGeom prst="rect"/>
                  </pic:spPr>
                </pic:pic>
              </a:graphicData>
            </a:graphic>
          </wp:inline>
        </w:drawing>
      </w:r>
    </w:p>
    <w:p>
      <w:pPr>
        <w:spacing w:before="40" w:after="200"/>
        <w:jc w:val="center"/>
      </w:pPr>
      <w:r>
        <w:rPr>
          <w:rFonts w:ascii="Calibri" w:hAnsi="Calibri"/>
          <w:b/>
          <w:color w:val="0F172A"/>
          <w:sz w:val="18"/>
        </w:rPr>
        <w:t xml:space="preserve">Figure: Figure 3: Executive Project Timeline &amp; 90-Day Strategic Rollout Roadmap — </w:t>
      </w:r>
      <w:r>
        <w:rPr>
          <w:rFonts w:ascii="Calibri" w:hAnsi="Calibri"/>
          <w:i/>
          <w:color w:val="64748B"/>
          <w:sz w:val="18"/>
        </w:rPr>
        <w:t>Dual-horizon timeline diagram illustrating (Top) the 32.5-hour professional document preparation schedule across 5 working days, and (Bottom) the phased 90-day post-presentation CRM integration roadmap.</w:t>
      </w:r>
    </w:p>
    <w:p>
      <w:pPr>
        <w:keepNext/>
        <w:spacing w:before="320" w:after="120"/>
      </w:pPr>
      <w:r>
        <w:rPr>
          <w:rFonts w:ascii="Calibri" w:hAnsi="Calibri"/>
          <w:b/>
          <w:color w:val="0F294A"/>
          <w:sz w:val="34"/>
        </w:rPr>
        <w:t>7. Potential Challenges and Mitigation Strategies</w:t>
      </w:r>
    </w:p>
    <w:p>
      <w:pPr>
        <w:spacing w:after="100" w:line="276" w:lineRule="auto"/>
      </w:pPr>
      <w:r>
        <w:rPr>
          <w:rFonts w:ascii="Calibri" w:hAnsi="Calibri"/>
          <w:b/>
          <w:color w:val="0F172A"/>
          <w:sz w:val="20"/>
        </w:rPr>
        <w:t xml:space="preserve">Defensive Governance: </w:t>
      </w:r>
      <w:r>
        <w:rPr>
          <w:rFonts w:ascii="Calibri" w:hAnsi="Calibri"/>
          <w:color w:val="334155"/>
          <w:sz w:val="20"/>
        </w:rPr>
        <w:t>Deploying predictive analytics within enterprise operational environments introduces organizational, technical, and commercial failure modes. To guarantee project success and executive accountability, we established a comprehensive risk management matrix analyzing 8 core challenges and proactive mitigations: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Risk Dimension</w:t>
            </w:r>
          </w:p>
        </w:tc>
        <w:tc>
          <w:tcPr>
            <w:tcW w:type="dxa" w:w="1872"/>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Potential Failure Mode</w:t>
            </w:r>
          </w:p>
        </w:tc>
        <w:tc>
          <w:tcPr>
            <w:tcW w:type="dxa" w:w="2016"/>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Root Cause &amp; Impact</w:t>
            </w:r>
          </w:p>
        </w:tc>
        <w:tc>
          <w:tcPr>
            <w:tcW w:type="dxa" w:w="2016"/>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Preventive Mitigation Protocol</w:t>
            </w:r>
          </w:p>
        </w:tc>
        <w:tc>
          <w:tcPr>
            <w:tcW w:type="dxa" w:w="1872"/>
            <w:shd w:fill="0F172A"/>
            <w:tcMar>
              <w:top w:w="120" w:type="dxa"/>
              <w:bottom w:w="120" w:type="dxa"/>
              <w:left w:w="140" w:type="dxa"/>
              <w:right w:w="140" w:type="dxa"/>
            </w:tcMar>
            <w:tcBorders>
              <w:top w:val="single" w:sz="8" w:space="0" w:color="0F172A"/>
              <w:bottom w:val="single" w:sz="8" w:space="0" w:color="0284C7"/>
              <w:left w:val="none"/>
              <w:right w:val="none"/>
            </w:tcBorders>
          </w:tcPr>
          <w:p>
            <w:pPr>
              <w:jc w:val="left"/>
            </w:pPr>
            <w:r>
              <w:rPr>
                <w:rFonts w:ascii="Calibri" w:hAnsi="Calibri"/>
                <w:b/>
                <w:color w:val="FFFFFF"/>
                <w:sz w:val="19"/>
              </w:rPr>
              <w:t>Contingency Action</w:t>
            </w:r>
          </w:p>
        </w:tc>
      </w:tr>
      <w:tr>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Organizational Adoption</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CSMs ignore model alert scores and rely on gut feel.</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Lack of algorithmic trust and fear of performance micromanagement.</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Co-design CSM tactical playbooks with customer success team leads; gamify positive churn saves.</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Mandate monthly executive review of outreach completion rates in team 1-on-1s.</w:t>
            </w:r>
          </w:p>
        </w:tc>
      </w:tr>
      <w:tr>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Alert Fatigue</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CSMs overwhelmed by high volume of risk notifications.</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Setting decision cutoff too low (e.g., t=0.20), generating excessive false alarms.</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Enforce cost-utility optimal threshold (t* = 0.35) with 96.55% Specificity, capping alerts to top 5% accounts.</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Implement maximum weekly alert throttling (max 8 accounts per CSM per week).</w:t>
            </w:r>
          </w:p>
        </w:tc>
      </w:tr>
      <w:tr>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Model Concept Drift</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Customer behavioral patterns shift as product evolves.</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Feature distributions drift over time, causing silent accuracy degradation.</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Deploy automated Population Stability Index (PSI) tracking; trigger retrain when PSI &gt; 0.20.</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Automated fallback to baseline rules engine if pipeline retrain encounters anomalies.</w:t>
            </w:r>
          </w:p>
        </w:tc>
      </w:tr>
      <w:tr>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Pipeline Latency</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API prediction response latency exceeds CRM timeouts.</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Complex feature engineering calculations slow down real-time API response.</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Pre-compute engineered velocity and friction features asynchronously in nightly pipeline worker.</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Cache prediction scores in Redis with 24-hour TTL; achieve sub-40ms CRM query response.</w:t>
            </w:r>
          </w:p>
        </w:tc>
      </w:tr>
      <w:tr>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Probability Misinterpretation</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Executives treat 40% probability as 'unlikely to churn'.</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Non-technical cognitive bias expecting binary yes/no answers rather than probabilities.</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Use color-coded risk tier badges (High, Medium, Low) and concrete expected loss values ($ ARR at risk).</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Include 1-page actuarial translation guide in all monthly board-level reports.</w:t>
            </w:r>
          </w:p>
        </w:tc>
      </w:tr>
      <w:tr>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Support Escalation Silos</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Engineering fails to meet 12-hour escalation SLA.</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Competing priorities between product roadmap features and customer bug fixes.</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Establish cross-functional SLA governance linking enterprise churn saves to engineering bonuses.</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Escalate tickets unresolved at 24 hours directly to VP of Engineering for emergency dispatch.</w:t>
            </w:r>
          </w:p>
        </w:tc>
      </w:tr>
      <w:tr>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Adverse Customer Reaction</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Clients feel surveilled by proactive retention calls.</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Awkward CSM outreach announcing 'Our AI predicts you will cancel'.</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Train CSMs on customer-centric conversational scripts focused on user success and feature enablement.</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Position all outreach as proactive 'Enterprise Value Reviews' rather than retention interventions.</w:t>
            </w:r>
          </w:p>
        </w:tc>
      </w:tr>
      <w:tr>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Feedback Loop Distortion</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Successful saves prevent ground-truth churn observation.</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Effective CSM interventions prevent churn, making model appear to have high false positive rate.</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Establish a 5% holdout randomized control group (clients flagged as high risk but not contacted).</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r>
              <w:rPr>
                <w:rFonts w:ascii="Calibri" w:hAnsi="Calibri"/>
                <w:color w:val="1E293B"/>
                <w:sz w:val="19"/>
              </w:rPr>
              <w:t>Calculate true intervention lift by comparing churn rate between contacted and holdout groups.</w:t>
            </w:r>
          </w:p>
        </w:tc>
      </w:tr>
    </w:tbl>
    <w:p>
      <w:pPr>
        <w:spacing w:after="80"/>
      </w:pPr>
    </w:p>
    <w:p>
      <w:pPr>
        <w:keepNext/>
        <w:spacing w:before="320" w:after="120"/>
      </w:pPr>
      <w:r>
        <w:rPr>
          <w:rFonts w:ascii="Calibri" w:hAnsi="Calibri"/>
          <w:b/>
          <w:color w:val="0F294A"/>
          <w:sz w:val="34"/>
        </w:rPr>
        <w:t>8. Conclusion &amp; Executive Sign-Off</w:t>
      </w:r>
    </w:p>
    <w:p>
      <w:pPr>
        <w:spacing w:after="100" w:line="276" w:lineRule="auto"/>
      </w:pPr>
      <w:r>
        <w:rPr>
          <w:rFonts w:ascii="Calibri" w:hAnsi="Calibri"/>
          <w:b/>
          <w:color w:val="0F172A"/>
          <w:sz w:val="20"/>
        </w:rPr>
        <w:t xml:space="preserve">Strategic Synthesis: </w:t>
      </w:r>
      <w:r>
        <w:rPr>
          <w:rFonts w:ascii="Calibri" w:hAnsi="Calibri"/>
          <w:color w:val="334155"/>
          <w:sz w:val="20"/>
        </w:rPr>
        <w:t>The ChurnGuard-ML initiative demonstrates that enterprise customer retention can be transformed from a reactive guessing game into an actuarially sound, highly profitable operational discipline. By pairing robust gradient-boosted classification with Isotonic probability calibration and cost-utility threshold optimization, the organization gains the capability to identify 70% of churn risks 60 days before contract renewal.</w:t>
      </w:r>
    </w:p>
    <w:p>
      <w:pPr>
        <w:spacing w:after="100" w:line="276" w:lineRule="auto"/>
      </w:pPr>
      <w:r>
        <w:rPr>
          <w:rFonts w:ascii="Calibri" w:hAnsi="Calibri"/>
          <w:b/>
          <w:color w:val="0F172A"/>
          <w:sz w:val="20"/>
        </w:rPr>
        <w:t xml:space="preserve">Commercial Justification: </w:t>
      </w:r>
      <w:r>
        <w:rPr>
          <w:rFonts w:ascii="Calibri" w:hAnsi="Calibri"/>
          <w:color w:val="334155"/>
          <w:sz w:val="20"/>
        </w:rPr>
        <w:t>At the cost-optimal decision threshold of t* = 0.35, the platform captures 86 additional churning accounts per campaign cycle, recovering $464,520 in gross ARR and delivering +$412,170 in net profit (a 787% ROI) after Customer Success outreach costs. Supported by an open-source, version-controlled Python codebase and an interactive testing interface, ChurnGuard-ML stands ready for immediate cross-functional rollout across our enterprise CRM ecosystem.</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80" w:type="dxa"/>
            </w:tcMar>
            <w:tcBorders>
              <w:top w:val="none"/>
              <w:left w:val="single" w:sz="24" w:space="0" w:color="0284C7"/>
              <w:bottom w:val="none"/>
              <w:right w:val="none"/>
            </w:tcBorders>
          </w:tcPr>
          <w:p>
            <w:pPr>
              <w:spacing w:before="40" w:after="80"/>
            </w:pPr>
            <w:r>
              <w:rPr>
                <w:rFonts w:ascii="Calibri" w:hAnsi="Calibri"/>
                <w:b/>
                <w:color w:val="0284C7"/>
                <w:sz w:val="22"/>
              </w:rPr>
              <w:t>■ Formal Executive Recommendation &amp; Authorization Request</w:t>
              <w:br/>
            </w:r>
            <w:r>
              <w:rPr>
                <w:rFonts w:ascii="Calibri" w:hAnsi="Calibri"/>
                <w:color w:val="334155"/>
                <w:sz w:val="20"/>
              </w:rPr>
              <w:t>The Data Science Architecture team recommends immediate executive approval to initiate Phase 1 of the 90-Day Operational Rollout Roadmap, authorizing CRM REST API integration and Customer Success playbook enablement to preserve recurring enterprise ARR.</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GitHub Repository: https://github.com/Sumarjanabiswas/Machine-Learning-Development-Plan  |  sumarjanabiswas690@gmail.com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Comprehensive Data Science Report &amp; Presentation Plan  |  Executive Synthesis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