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Week2-Day1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qnq3lfcs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THE ICEPOT FRAMEWORK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ICEPOT in Practice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“Three real-time prompts, all six ICEPOT components tagged — Instructions, Context, Example, Persona, Output Format, Tone.”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95zvewwzbp9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1. Test Data Generation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create 5 sample user records with edge cases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for a registration form used by international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special characters, long names, international phone numbers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test data generator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JSON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concise, data only — no explanations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Iterated Prompt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exactly 5 unique sample user records for testing an international user registration form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Context: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realistic test data covering internationalization, validation, and boundary cases.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special characters/diacritics, very long names, international phone numbers, different country codes, and a variety of countries.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professional test data generator specializing in internationalization and edge-case testing.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 only in this exact structure: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"users": [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"first_name": "",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"last_name": "",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"phone": "",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"country_code": ""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Exactly 5 records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records must be unique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realistic but fictional data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Keep phone numbers internationally formatted and consistent with their country code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Include different edge cases across the 5 records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add fields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include explanations or comments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Concise, deterministic, data only.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"users": [</w:t>
        <w:br w:type="textWrapping"/>
        <w:t xml:space="preserve"> {</w:t>
        <w:br w:type="textWrapping"/>
        <w:t xml:space="preserve"> "first_name": "Zoë",</w:t>
        <w:br w:type="textWrapping"/>
        <w:t xml:space="preserve"> "last_name": "Müller",</w:t>
        <w:br w:type="textWrapping"/>
        <w:t xml:space="preserve"> "phone": "+49 151 23456789",</w:t>
        <w:br w:type="textWrapping"/>
        <w:t xml:space="preserve"> "country_code": "+49"</w:t>
        <w:br w:type="textWrapping"/>
        <w:t xml:space="preserve"> },</w:t>
        <w:br w:type="textWrapping"/>
        <w:t xml:space="preserve"> {</w:t>
        <w:br w:type="textWrapping"/>
        <w:t xml:space="preserve"> "first_name": "Léon",</w:t>
        <w:br w:type="textWrapping"/>
        <w:t xml:space="preserve"> "last_name": "D'Aubigné",</w:t>
        <w:br w:type="textWrapping"/>
        <w:t xml:space="preserve"> "phone": "+33 6 12 34 56 78",</w:t>
        <w:br w:type="textWrapping"/>
        <w:t xml:space="preserve"> "country_code": "+33"</w:t>
        <w:br w:type="textWrapping"/>
        <w:t xml:space="preserve"> },</w:t>
        <w:br w:type="textWrapping"/>
        <w:t xml:space="preserve"> {</w:t>
        <w:br w:type="textWrapping"/>
        <w:t xml:space="preserve"> "first_name": "Nwachukwu",</w:t>
        <w:br w:type="textWrapping"/>
        <w:t xml:space="preserve"> "last_name": "Okafor-Emeka",</w:t>
        <w:br w:type="textWrapping"/>
        <w:t xml:space="preserve"> "phone": "+234 803 123 4567",</w:t>
        <w:br w:type="textWrapping"/>
        <w:t xml:space="preserve"> "country_code": "+234"</w:t>
        <w:br w:type="textWrapping"/>
        <w:t xml:space="preserve"> },</w:t>
        <w:br w:type="textWrapping"/>
        <w:t xml:space="preserve"> {</w:t>
        <w:br w:type="textWrapping"/>
        <w:t xml:space="preserve"> "first_name": "Alexandertheodore",</w:t>
        <w:br w:type="textWrapping"/>
        <w:t xml:space="preserve"> "last_name": "von Wiesenbach-Schneidermann",</w:t>
        <w:br w:type="textWrapping"/>
        <w:t xml:space="preserve"> "phone": "+41 79 123 45 67",</w:t>
        <w:br w:type="textWrapping"/>
        <w:t xml:space="preserve"> "country_code": "+41"</w:t>
        <w:br w:type="textWrapping"/>
        <w:t xml:space="preserve"> },</w:t>
        <w:br w:type="textWrapping"/>
        <w:t xml:space="preserve"> {</w:t>
        <w:br w:type="textWrapping"/>
        <w:t xml:space="preserve"> "first_name": "Sofía",</w:t>
        <w:br w:type="textWrapping"/>
        <w:t xml:space="preserve"> "last_name": "García-Ramírez",</w:t>
        <w:br w:type="textWrapping"/>
        <w:t xml:space="preserve"> "phone": "+34 612 345 678",</w:t>
        <w:br w:type="textWrapping"/>
        <w:t xml:space="preserve"> "country_code": "+34"</w:t>
        <w:br w:type="textWrapping"/>
        <w:t xml:space="preserve"> }</w:t>
        <w:br w:type="textWrapping"/>
        <w:t xml:space="preserve"> ]</w:t>
        <w:br w:type="textWrapping"/>
        <w:t xml:space="preserve"> 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jlz8opft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Regression Prioritization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identify the top 10 highest-risk regression tests to run first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given this list of 50 test cases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rank by module criticality and recent defect history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QA automation lead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ranked table with risk score and justification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concise, technical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 tuned Prompt: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2.7793532850649"/>
        <w:gridCol w:w="2428.897796226176"/>
        <w:gridCol w:w="1598.0785500404002"/>
        <w:gridCol w:w="930.6991555633011"/>
        <w:gridCol w:w="3355.0569559086807"/>
        <w:tblGridChange w:id="0">
          <w:tblGrid>
            <w:gridCol w:w="712.7793532850649"/>
            <w:gridCol w:w="2428.897796226176"/>
            <w:gridCol w:w="1598.0785500404002"/>
            <w:gridCol w:w="930.6991555633011"/>
            <w:gridCol w:w="3355.05695590868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TC-023: Payment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module, mandatory flow, P1 priority, and recent payment defects.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TC-007: 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access functionality; mandatory and high-impact with recent login failures.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TC-031: Order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Business-critical flow with high priority and recent regression defects.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TC-014: Checkout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customer journey with direct revenue impact and frequent defects.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TC-042: Database transaction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backend functionality; failures can cause data corruption or loss.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TC-019: 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onboarding flow with high usage and recent validation defects.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TC-036: API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security impact and critical dependency for multiple modules.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TC-011: Product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High-use feature with recent search/filter regressions.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TC-028: Order cancellation/refund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business impact and dependency on payment/refund processing.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TC-047: Notification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 user-facing functionality with recent delivery failures.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4lya8ipd2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Sprint Retrospective Summary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summarize this retro discussion into key themes and action items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2-week sprint notes from 8 team members — went well / didn't / actions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“kept blocking on staging env” → action item: assign a staging env owner  </w:t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Scrum Master facilitating the retro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3 sections — Highlights, Challenges, Action Items (owner + due date),Point of Contact, Remarks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constructive, blame-free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21qzvhtsp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Highlights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collaboration across the team during the sprint.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planned sprint work was completed with good cross-functional support.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 responded quickly to issues and helped unblock one another.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and knowledge sharing were effective in resolving technical challenges.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6hd5jv4q0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Staging environment: Team members experienced repeated blocking due to staging availability and configuration issues.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 clarity: Some stories required additional clarification, causing delays during implementation.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delays: Late availability of builds reduced the time available for regression testing.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Workload distribution: A few tasks became concentrated among specific team members, creating potential bottlenecks.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4l52acsns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6.8214049838452"/>
        <w:gridCol w:w="1514.0738045614717"/>
        <w:gridCol w:w="1242.084498352824"/>
        <w:gridCol w:w="1146.8882411797974"/>
        <w:gridCol w:w="2275.643861945685"/>
        <w:tblGridChange w:id="0">
          <w:tblGrid>
            <w:gridCol w:w="2846.8214049838452"/>
            <w:gridCol w:w="1514.0738045614717"/>
            <w:gridCol w:w="1242.084498352824"/>
            <w:gridCol w:w="1146.8882411797974"/>
            <w:gridCol w:w="2275.6438619456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of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 a dedicated staging environment owner and define an escalation process.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next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staging issues and minimize repeated blockers.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and clarify acceptance criteria before sprint planning.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sprint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 requirement-related rework.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 builds available earlier for QA regression testing.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Agree on a consistent build handoff time.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task distribution and identify backup owners for critical tasks.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sprint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 dependency on individual team members.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recurring blockers in the sprint board and review them during stand-ups.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Entire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on early identification and resolution.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 The team showed good collaboration and adaptability. The main improvement opportunities are reducing environment-related blockers, clarifying requirements earlier, and improving build/test coordination.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