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212" w:rsidRPr="00880F72" w:rsidRDefault="00925212" w:rsidP="00880F7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0F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REPORT: FINFLOW – NEXT-GEN MSME LENDING</w:t>
      </w:r>
    </w:p>
    <w:p w:rsidR="00925212" w:rsidRPr="00880F72" w:rsidRDefault="00925212" w:rsidP="0088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Theme:</w:t>
      </w:r>
      <w:r w:rsidRPr="00880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80F72">
        <w:rPr>
          <w:rFonts w:ascii="Times New Roman" w:eastAsia="Times New Roman" w:hAnsi="Times New Roman" w:cs="Times New Roman"/>
          <w:sz w:val="24"/>
          <w:szCs w:val="24"/>
          <w:lang w:eastAsia="en-IN"/>
        </w:rPr>
        <w:t>FinTech</w:t>
      </w:r>
      <w:proofErr w:type="spellEnd"/>
      <w:r w:rsidRPr="00880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MSME Growth</w:t>
      </w:r>
    </w:p>
    <w:p w:rsidR="00925212" w:rsidRPr="00880F72" w:rsidRDefault="00925212" w:rsidP="0088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880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Implementation &amp; Design Report</w:t>
      </w:r>
    </w:p>
    <w:p w:rsidR="00925212" w:rsidRPr="00880F72" w:rsidRDefault="00925212" w:rsidP="0088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Platform Goal:</w:t>
      </w:r>
      <w:r w:rsidRPr="00880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Disbursement of collateral-free loans in &lt;48 hours.</w:t>
      </w:r>
    </w:p>
    <w:p w:rsidR="00925212" w:rsidRPr="00880F72" w:rsidRDefault="00765D50" w:rsidP="0088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F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697A" w:rsidRPr="00880F72" w:rsidRDefault="00B9697A" w:rsidP="00880F72">
      <w:pPr>
        <w:jc w:val="both"/>
        <w:rPr>
          <w:rFonts w:ascii="Times New Roman" w:hAnsi="Times New Roman" w:cs="Times New Roman"/>
        </w:rPr>
      </w:pP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1. Executive Summary &amp; Problem Solving</w:t>
      </w:r>
    </w:p>
    <w:p w:rsidR="00925212" w:rsidRPr="00880F72" w:rsidRDefault="00925212" w:rsidP="00880F72">
      <w:pPr>
        <w:pStyle w:val="NormalWeb"/>
        <w:jc w:val="both"/>
      </w:pPr>
      <w:r w:rsidRPr="00880F72">
        <w:rPr>
          <w:b/>
          <w:bCs/>
        </w:rPr>
        <w:t>The Problem:</w:t>
      </w:r>
      <w:r w:rsidRPr="00880F72">
        <w:t xml:space="preserve"> MSMEs face a ₹20 </w:t>
      </w:r>
      <w:proofErr w:type="spellStart"/>
      <w:r w:rsidRPr="00880F72">
        <w:t>lakh</w:t>
      </w:r>
      <w:proofErr w:type="spellEnd"/>
      <w:r w:rsidRPr="00880F72">
        <w:t xml:space="preserve"> </w:t>
      </w:r>
      <w:proofErr w:type="spellStart"/>
      <w:r w:rsidRPr="00880F72">
        <w:t>crore</w:t>
      </w:r>
      <w:proofErr w:type="spellEnd"/>
      <w:r w:rsidRPr="00880F72">
        <w:t xml:space="preserve"> credit gap due to high-risk perceptions, lack of </w:t>
      </w:r>
      <w:proofErr w:type="gramStart"/>
      <w:r w:rsidRPr="00880F72">
        <w:t>collateral,</w:t>
      </w:r>
      <w:proofErr w:type="gramEnd"/>
      <w:r w:rsidRPr="00880F72">
        <w:t xml:space="preserve"> and slow manual processing (3+ weeks). </w:t>
      </w:r>
      <w:r w:rsidRPr="00880F72">
        <w:rPr>
          <w:b/>
          <w:bCs/>
        </w:rPr>
        <w:t>The Solution:</w:t>
      </w:r>
      <w:r w:rsidRPr="00880F72">
        <w:t xml:space="preserve"> </w:t>
      </w:r>
      <w:proofErr w:type="spellStart"/>
      <w:r w:rsidRPr="00880F72">
        <w:rPr>
          <w:b/>
          <w:bCs/>
        </w:rPr>
        <w:t>FinFlow</w:t>
      </w:r>
      <w:proofErr w:type="spellEnd"/>
      <w:r w:rsidRPr="00880F72">
        <w:t xml:space="preserve"> is a digital-first lending platform that replaces traditional collateral with </w:t>
      </w:r>
      <w:r w:rsidRPr="00880F72">
        <w:rPr>
          <w:b/>
          <w:bCs/>
        </w:rPr>
        <w:t>"Data Collateral."</w:t>
      </w:r>
      <w:r w:rsidRPr="00880F72">
        <w:t xml:space="preserve"> By automating document verification and risk assessment, we reduce the loan lifecycle to </w:t>
      </w:r>
      <w:r w:rsidRPr="00880F72">
        <w:rPr>
          <w:b/>
          <w:bCs/>
        </w:rPr>
        <w:t>24–48 hours</w:t>
      </w:r>
      <w:r w:rsidRPr="00880F72">
        <w:t>, providing MSMEs with the liquid capital needed for immediate growth.</w:t>
      </w:r>
    </w:p>
    <w:p w:rsidR="00925212" w:rsidRPr="00880F72" w:rsidRDefault="00765D50" w:rsidP="00880F72">
      <w:pPr>
        <w:pStyle w:val="NormalWeb"/>
        <w:jc w:val="both"/>
      </w:pPr>
      <w:r w:rsidRPr="00880F72">
        <w:pict>
          <v:rect id="_x0000_i1026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2. Technical Implementation &amp; Architecture</w:t>
      </w:r>
    </w:p>
    <w:p w:rsidR="00925212" w:rsidRPr="00880F72" w:rsidRDefault="00925212" w:rsidP="00880F72">
      <w:pPr>
        <w:pStyle w:val="NormalWeb"/>
        <w:jc w:val="both"/>
      </w:pPr>
      <w:r w:rsidRPr="00880F72">
        <w:t xml:space="preserve">We have implemented a </w:t>
      </w:r>
      <w:r w:rsidRPr="00880F72">
        <w:rPr>
          <w:b/>
          <w:bCs/>
        </w:rPr>
        <w:t xml:space="preserve">Modular </w:t>
      </w:r>
      <w:proofErr w:type="spellStart"/>
      <w:r w:rsidRPr="00880F72">
        <w:rPr>
          <w:b/>
          <w:bCs/>
        </w:rPr>
        <w:t>Microservices</w:t>
      </w:r>
      <w:proofErr w:type="spellEnd"/>
      <w:r w:rsidRPr="00880F72">
        <w:rPr>
          <w:b/>
          <w:bCs/>
        </w:rPr>
        <w:t xml:space="preserve"> Architecture</w:t>
      </w:r>
      <w:r w:rsidRPr="00880F72">
        <w:t xml:space="preserve"> to ensure the system is both secure and scalable.</w:t>
      </w:r>
    </w:p>
    <w:p w:rsidR="00925212" w:rsidRPr="00880F72" w:rsidRDefault="00925212" w:rsidP="00880F72">
      <w:pPr>
        <w:pStyle w:val="Heading3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 xml:space="preserve">A. Automated Underwriting &amp; AI Risk </w:t>
      </w:r>
      <w:proofErr w:type="spellStart"/>
      <w:r w:rsidRPr="00880F72">
        <w:rPr>
          <w:rFonts w:ascii="Times New Roman" w:hAnsi="Times New Roman" w:cs="Times New Roman"/>
        </w:rPr>
        <w:t>Modeling</w:t>
      </w:r>
      <w:proofErr w:type="spellEnd"/>
    </w:p>
    <w:p w:rsidR="00925212" w:rsidRPr="00880F72" w:rsidRDefault="00925212" w:rsidP="00880F72">
      <w:pPr>
        <w:pStyle w:val="NormalWeb"/>
        <w:jc w:val="both"/>
      </w:pPr>
      <w:r w:rsidRPr="00880F72">
        <w:t xml:space="preserve">We moved away from static credit scores. Our </w:t>
      </w:r>
      <w:r w:rsidRPr="00880F72">
        <w:rPr>
          <w:b/>
          <w:bCs/>
        </w:rPr>
        <w:t>AI Underwriting Engine</w:t>
      </w:r>
      <w:r w:rsidRPr="00880F72">
        <w:t xml:space="preserve"> uses:</w:t>
      </w:r>
    </w:p>
    <w:p w:rsidR="00925212" w:rsidRPr="00880F72" w:rsidRDefault="00925212" w:rsidP="00880F72">
      <w:pPr>
        <w:pStyle w:val="NormalWeb"/>
        <w:numPr>
          <w:ilvl w:val="0"/>
          <w:numId w:val="1"/>
        </w:numPr>
        <w:jc w:val="both"/>
      </w:pPr>
      <w:r w:rsidRPr="00880F72">
        <w:rPr>
          <w:b/>
          <w:bCs/>
        </w:rPr>
        <w:t>Cash-Flow Analysis:</w:t>
      </w:r>
      <w:r w:rsidRPr="00880F72">
        <w:t xml:space="preserve"> Real-time parsing of bank statements to calculate debt-service capacity.</w:t>
      </w:r>
    </w:p>
    <w:p w:rsidR="00925212" w:rsidRPr="00880F72" w:rsidRDefault="00925212" w:rsidP="00880F72">
      <w:pPr>
        <w:pStyle w:val="NormalWeb"/>
        <w:numPr>
          <w:ilvl w:val="0"/>
          <w:numId w:val="1"/>
        </w:numPr>
        <w:jc w:val="both"/>
      </w:pPr>
      <w:proofErr w:type="spellStart"/>
      <w:r w:rsidRPr="00880F72">
        <w:rPr>
          <w:b/>
          <w:bCs/>
        </w:rPr>
        <w:t>Behavioral</w:t>
      </w:r>
      <w:proofErr w:type="spellEnd"/>
      <w:r w:rsidRPr="00880F72">
        <w:rPr>
          <w:b/>
          <w:bCs/>
        </w:rPr>
        <w:t xml:space="preserve"> Scoring:</w:t>
      </w:r>
      <w:r w:rsidRPr="00880F72">
        <w:t xml:space="preserve"> Using digital payment history (UPI/</w:t>
      </w:r>
      <w:proofErr w:type="spellStart"/>
      <w:r w:rsidRPr="00880F72">
        <w:t>PoS</w:t>
      </w:r>
      <w:proofErr w:type="spellEnd"/>
      <w:r w:rsidRPr="00880F72">
        <w:t>) to predict repayment intent.</w:t>
      </w:r>
    </w:p>
    <w:p w:rsidR="00925212" w:rsidRPr="00880F72" w:rsidRDefault="00925212" w:rsidP="00880F72">
      <w:pPr>
        <w:pStyle w:val="NormalWeb"/>
        <w:numPr>
          <w:ilvl w:val="0"/>
          <w:numId w:val="1"/>
        </w:numPr>
        <w:jc w:val="both"/>
      </w:pPr>
      <w:r w:rsidRPr="00880F72">
        <w:rPr>
          <w:b/>
          <w:bCs/>
        </w:rPr>
        <w:t>GST Intelligence:</w:t>
      </w:r>
      <w:r w:rsidRPr="00880F72">
        <w:t xml:space="preserve"> Analyzing GSTR-3B filings to verify monthly turnover and business consistency.</w:t>
      </w:r>
    </w:p>
    <w:p w:rsidR="00925212" w:rsidRPr="00880F72" w:rsidRDefault="00925212" w:rsidP="00880F72">
      <w:pPr>
        <w:pStyle w:val="Heading3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B. Intelligent Document Processing (OCR &amp; NLP)</w:t>
      </w:r>
    </w:p>
    <w:p w:rsidR="00925212" w:rsidRPr="00880F72" w:rsidRDefault="00925212" w:rsidP="00880F72">
      <w:pPr>
        <w:pStyle w:val="NormalWeb"/>
        <w:jc w:val="both"/>
      </w:pPr>
      <w:r w:rsidRPr="00880F72">
        <w:t xml:space="preserve">To satisfy the "Hassle-free" requirement, we implemented an </w:t>
      </w:r>
      <w:r w:rsidRPr="00880F72">
        <w:rPr>
          <w:b/>
          <w:bCs/>
        </w:rPr>
        <w:t>Automated Document Vault</w:t>
      </w:r>
      <w:r w:rsidRPr="00880F72">
        <w:t>:</w:t>
      </w:r>
    </w:p>
    <w:p w:rsidR="00925212" w:rsidRPr="00880F72" w:rsidRDefault="00925212" w:rsidP="00880F72">
      <w:pPr>
        <w:pStyle w:val="NormalWeb"/>
        <w:numPr>
          <w:ilvl w:val="0"/>
          <w:numId w:val="2"/>
        </w:numPr>
        <w:jc w:val="both"/>
      </w:pPr>
      <w:r w:rsidRPr="00880F72">
        <w:rPr>
          <w:b/>
          <w:bCs/>
        </w:rPr>
        <w:t>OCR Integration:</w:t>
      </w:r>
      <w:r w:rsidRPr="00880F72">
        <w:t xml:space="preserve"> Automatically extracts data from PAN cards, </w:t>
      </w:r>
      <w:proofErr w:type="spellStart"/>
      <w:r w:rsidRPr="00880F72">
        <w:t>Aadhaar</w:t>
      </w:r>
      <w:proofErr w:type="spellEnd"/>
      <w:r w:rsidRPr="00880F72">
        <w:t>, and GST certificates.</w:t>
      </w:r>
    </w:p>
    <w:p w:rsidR="00925212" w:rsidRPr="00880F72" w:rsidRDefault="00925212" w:rsidP="00880F72">
      <w:pPr>
        <w:pStyle w:val="NormalWeb"/>
        <w:numPr>
          <w:ilvl w:val="0"/>
          <w:numId w:val="2"/>
        </w:numPr>
        <w:jc w:val="both"/>
      </w:pPr>
      <w:r w:rsidRPr="00880F72">
        <w:rPr>
          <w:b/>
          <w:bCs/>
        </w:rPr>
        <w:t>NLP for Invoices:</w:t>
      </w:r>
      <w:r w:rsidRPr="00880F72">
        <w:t xml:space="preserve"> Analyzes purchase orders and invoices to detect "circular trading" or fraudulent entries.</w:t>
      </w:r>
    </w:p>
    <w:p w:rsidR="00925212" w:rsidRPr="00880F72" w:rsidRDefault="00925212" w:rsidP="00880F72">
      <w:pPr>
        <w:pStyle w:val="NormalWeb"/>
        <w:numPr>
          <w:ilvl w:val="0"/>
          <w:numId w:val="2"/>
        </w:numPr>
        <w:jc w:val="both"/>
      </w:pPr>
      <w:r w:rsidRPr="00880F72">
        <w:rPr>
          <w:b/>
          <w:bCs/>
        </w:rPr>
        <w:lastRenderedPageBreak/>
        <w:t>Verification:</w:t>
      </w:r>
      <w:r w:rsidRPr="00880F72">
        <w:t xml:space="preserve"> Cross-references data with the </w:t>
      </w:r>
      <w:r w:rsidRPr="00880F72">
        <w:rPr>
          <w:b/>
          <w:bCs/>
        </w:rPr>
        <w:t>India Stack</w:t>
      </w:r>
      <w:r w:rsidRPr="00880F72">
        <w:t xml:space="preserve"> (UIDAI, GSTN, and NSDL) in real-time.</w:t>
      </w:r>
    </w:p>
    <w:p w:rsidR="00925212" w:rsidRPr="00880F72" w:rsidRDefault="00925212" w:rsidP="00880F72">
      <w:pPr>
        <w:pStyle w:val="Heading3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 xml:space="preserve">C. Digital </w:t>
      </w:r>
      <w:proofErr w:type="spellStart"/>
      <w:r w:rsidRPr="00880F72">
        <w:rPr>
          <w:rFonts w:ascii="Times New Roman" w:hAnsi="Times New Roman" w:cs="Times New Roman"/>
        </w:rPr>
        <w:t>Onboarding</w:t>
      </w:r>
      <w:proofErr w:type="spellEnd"/>
      <w:r w:rsidRPr="00880F72">
        <w:rPr>
          <w:rFonts w:ascii="Times New Roman" w:hAnsi="Times New Roman" w:cs="Times New Roman"/>
        </w:rPr>
        <w:t xml:space="preserve"> &amp; Security</w:t>
      </w:r>
    </w:p>
    <w:p w:rsidR="00925212" w:rsidRPr="00880F72" w:rsidRDefault="00925212" w:rsidP="00880F72">
      <w:pPr>
        <w:pStyle w:val="NormalWeb"/>
        <w:numPr>
          <w:ilvl w:val="0"/>
          <w:numId w:val="3"/>
        </w:numPr>
        <w:jc w:val="both"/>
      </w:pPr>
      <w:r w:rsidRPr="00880F72">
        <w:rPr>
          <w:b/>
          <w:bCs/>
        </w:rPr>
        <w:t>Video KYC (V-KYC):</w:t>
      </w:r>
      <w:r w:rsidRPr="00880F72">
        <w:t xml:space="preserve"> AI-assisted face matching with </w:t>
      </w:r>
      <w:proofErr w:type="spellStart"/>
      <w:r w:rsidRPr="00880F72">
        <w:t>liveness</w:t>
      </w:r>
      <w:proofErr w:type="spellEnd"/>
      <w:r w:rsidRPr="00880F72">
        <w:t xml:space="preserve"> detection to prevent identity theft.</w:t>
      </w:r>
    </w:p>
    <w:p w:rsidR="00925212" w:rsidRPr="00880F72" w:rsidRDefault="00925212" w:rsidP="00880F72">
      <w:pPr>
        <w:pStyle w:val="NormalWeb"/>
        <w:numPr>
          <w:ilvl w:val="0"/>
          <w:numId w:val="3"/>
        </w:numPr>
        <w:jc w:val="both"/>
      </w:pPr>
      <w:proofErr w:type="gramStart"/>
      <w:r w:rsidRPr="00880F72">
        <w:rPr>
          <w:b/>
          <w:bCs/>
        </w:rPr>
        <w:t>e-Sign</w:t>
      </w:r>
      <w:proofErr w:type="gramEnd"/>
      <w:r w:rsidRPr="00880F72">
        <w:rPr>
          <w:b/>
          <w:bCs/>
        </w:rPr>
        <w:t xml:space="preserve"> &amp; e-Stamping:</w:t>
      </w:r>
      <w:r w:rsidRPr="00880F72">
        <w:t xml:space="preserve"> Legal loan agreements are generated and signed digitally via </w:t>
      </w:r>
      <w:proofErr w:type="spellStart"/>
      <w:r w:rsidRPr="00880F72">
        <w:t>Aadhaar</w:t>
      </w:r>
      <w:proofErr w:type="spellEnd"/>
      <w:r w:rsidRPr="00880F72">
        <w:t xml:space="preserve"> OTP.</w:t>
      </w:r>
    </w:p>
    <w:p w:rsidR="00925212" w:rsidRPr="00880F72" w:rsidRDefault="00765D50" w:rsidP="00880F72">
      <w:pPr>
        <w:pStyle w:val="NormalWeb"/>
        <w:jc w:val="both"/>
      </w:pPr>
      <w:r w:rsidRPr="00880F72">
        <w:pict>
          <v:rect id="_x0000_i1027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3. UI/UX Design Strategy</w:t>
      </w:r>
    </w:p>
    <w:p w:rsidR="00925212" w:rsidRPr="00880F72" w:rsidRDefault="00925212" w:rsidP="00880F72">
      <w:pPr>
        <w:pStyle w:val="NormalWeb"/>
        <w:jc w:val="both"/>
      </w:pPr>
      <w:r w:rsidRPr="00880F72">
        <w:t xml:space="preserve">The interface was designed with a </w:t>
      </w:r>
      <w:r w:rsidRPr="00880F72">
        <w:rPr>
          <w:b/>
          <w:bCs/>
        </w:rPr>
        <w:t>"Mobile-First, User-Last"</w:t>
      </w:r>
      <w:r w:rsidRPr="00880F72">
        <w:t xml:space="preserve"> philosophy (optimized for users with limited tech literacy).</w:t>
      </w:r>
    </w:p>
    <w:p w:rsidR="00925212" w:rsidRPr="00880F72" w:rsidRDefault="00925212" w:rsidP="00880F72">
      <w:pPr>
        <w:pStyle w:val="NormalWeb"/>
        <w:numPr>
          <w:ilvl w:val="0"/>
          <w:numId w:val="4"/>
        </w:numPr>
        <w:jc w:val="both"/>
      </w:pPr>
      <w:r w:rsidRPr="00880F72">
        <w:rPr>
          <w:b/>
          <w:bCs/>
        </w:rPr>
        <w:t>Minimalist Dashboard:</w:t>
      </w:r>
      <w:r w:rsidRPr="00880F72">
        <w:t xml:space="preserve"> Shows only three metrics: </w:t>
      </w:r>
      <w:r w:rsidRPr="00880F72">
        <w:rPr>
          <w:i/>
          <w:iCs/>
        </w:rPr>
        <w:t>Limit Available, Next Due Date,</w:t>
      </w:r>
      <w:r w:rsidRPr="00880F72">
        <w:t xml:space="preserve"> and </w:t>
      </w:r>
      <w:r w:rsidRPr="00880F72">
        <w:rPr>
          <w:i/>
          <w:iCs/>
        </w:rPr>
        <w:t>Current Health Score.</w:t>
      </w:r>
    </w:p>
    <w:p w:rsidR="00925212" w:rsidRPr="00880F72" w:rsidRDefault="00925212" w:rsidP="00880F72">
      <w:pPr>
        <w:pStyle w:val="NormalWeb"/>
        <w:numPr>
          <w:ilvl w:val="0"/>
          <w:numId w:val="4"/>
        </w:numPr>
        <w:jc w:val="both"/>
      </w:pPr>
      <w:r w:rsidRPr="00880F72">
        <w:rPr>
          <w:b/>
          <w:bCs/>
        </w:rPr>
        <w:t>One-Click Drawdown:</w:t>
      </w:r>
      <w:r w:rsidRPr="00880F72">
        <w:t xml:space="preserve"> Once pre-approved, users can withdraw funds to their bank account with a single tap.</w:t>
      </w:r>
    </w:p>
    <w:p w:rsidR="00925212" w:rsidRPr="00880F72" w:rsidRDefault="00925212" w:rsidP="00880F72">
      <w:pPr>
        <w:pStyle w:val="NormalWeb"/>
        <w:numPr>
          <w:ilvl w:val="0"/>
          <w:numId w:val="4"/>
        </w:numPr>
        <w:jc w:val="both"/>
      </w:pPr>
      <w:r w:rsidRPr="00880F72">
        <w:rPr>
          <w:b/>
          <w:bCs/>
        </w:rPr>
        <w:t>Multi-modal Feedback:</w:t>
      </w:r>
      <w:r w:rsidRPr="00880F72">
        <w:t xml:space="preserve"> Uses </w:t>
      </w:r>
      <w:proofErr w:type="spellStart"/>
      <w:r w:rsidRPr="00880F72">
        <w:t>haptic</w:t>
      </w:r>
      <w:proofErr w:type="spellEnd"/>
      <w:r w:rsidRPr="00880F72">
        <w:t xml:space="preserve"> feedback and voice prompts in local languages to guide the user through the 5-minute application process.</w:t>
      </w:r>
    </w:p>
    <w:p w:rsidR="00925212" w:rsidRPr="00880F72" w:rsidRDefault="00765D50" w:rsidP="00880F72">
      <w:pPr>
        <w:pStyle w:val="NormalWeb"/>
        <w:jc w:val="both"/>
      </w:pPr>
      <w:r w:rsidRPr="00880F72">
        <w:pict>
          <v:rect id="_x0000_i1028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4. Innovation &amp; Originality</w:t>
      </w:r>
    </w:p>
    <w:p w:rsidR="00925212" w:rsidRPr="00880F72" w:rsidRDefault="00925212" w:rsidP="00880F72">
      <w:pPr>
        <w:pStyle w:val="NormalWeb"/>
        <w:jc w:val="both"/>
      </w:pPr>
      <w:proofErr w:type="spellStart"/>
      <w:r w:rsidRPr="00880F72">
        <w:t>FinFlow</w:t>
      </w:r>
      <w:proofErr w:type="spellEnd"/>
      <w:r w:rsidRPr="00880F72">
        <w:t xml:space="preserve"> introduces features that go beyond standard banking:</w:t>
      </w:r>
    </w:p>
    <w:p w:rsidR="00925212" w:rsidRPr="00880F72" w:rsidRDefault="00925212" w:rsidP="00880F72">
      <w:pPr>
        <w:pStyle w:val="NormalWeb"/>
        <w:numPr>
          <w:ilvl w:val="0"/>
          <w:numId w:val="5"/>
        </w:numPr>
        <w:jc w:val="both"/>
      </w:pPr>
      <w:r w:rsidRPr="00880F72">
        <w:rPr>
          <w:b/>
          <w:bCs/>
        </w:rPr>
        <w:t>The "Business Health Score":</w:t>
      </w:r>
      <w:r w:rsidRPr="00880F72">
        <w:t xml:space="preserve"> A proprietary 1-100 index that visualizes a business’s growth potential, helping MSMEs </w:t>
      </w:r>
      <w:proofErr w:type="gramStart"/>
      <w:r w:rsidRPr="00880F72">
        <w:t>understand</w:t>
      </w:r>
      <w:proofErr w:type="gramEnd"/>
      <w:r w:rsidRPr="00880F72">
        <w:t xml:space="preserve"> </w:t>
      </w:r>
      <w:r w:rsidRPr="00880F72">
        <w:rPr>
          <w:i/>
          <w:iCs/>
        </w:rPr>
        <w:t>why</w:t>
      </w:r>
      <w:r w:rsidRPr="00880F72">
        <w:t xml:space="preserve"> they were approved or rejected.</w:t>
      </w:r>
    </w:p>
    <w:p w:rsidR="00925212" w:rsidRPr="00880F72" w:rsidRDefault="00925212" w:rsidP="00880F72">
      <w:pPr>
        <w:pStyle w:val="NormalWeb"/>
        <w:numPr>
          <w:ilvl w:val="0"/>
          <w:numId w:val="5"/>
        </w:numPr>
        <w:jc w:val="both"/>
      </w:pPr>
      <w:r w:rsidRPr="00880F72">
        <w:rPr>
          <w:b/>
          <w:bCs/>
        </w:rPr>
        <w:t>Alternative Data Fusion:</w:t>
      </w:r>
      <w:r w:rsidRPr="00880F72">
        <w:t xml:space="preserve"> We integrate with e-commerce platforms (Amazon/</w:t>
      </w:r>
      <w:proofErr w:type="spellStart"/>
      <w:r w:rsidRPr="00880F72">
        <w:t>Flipkart</w:t>
      </w:r>
      <w:proofErr w:type="spellEnd"/>
      <w:r w:rsidRPr="00880F72">
        <w:t xml:space="preserve"> seller data) and logistics providers to verify "Business Momentum" for those without long credit histories.</w:t>
      </w:r>
    </w:p>
    <w:p w:rsidR="00925212" w:rsidRPr="00880F72" w:rsidRDefault="00765D50" w:rsidP="00880F72">
      <w:pPr>
        <w:pStyle w:val="NormalWeb"/>
        <w:jc w:val="both"/>
      </w:pPr>
      <w:r w:rsidRPr="00880F72">
        <w:pict>
          <v:rect id="_x0000_i1029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5. Practical Feasibility &amp; Market Readiness</w:t>
      </w:r>
    </w:p>
    <w:p w:rsidR="00925212" w:rsidRPr="00880F72" w:rsidRDefault="00925212" w:rsidP="00880F72">
      <w:pPr>
        <w:pStyle w:val="NormalWeb"/>
        <w:numPr>
          <w:ilvl w:val="0"/>
          <w:numId w:val="6"/>
        </w:numPr>
        <w:jc w:val="both"/>
      </w:pPr>
      <w:r w:rsidRPr="00880F72">
        <w:rPr>
          <w:b/>
          <w:bCs/>
        </w:rPr>
        <w:t>Compliance:</w:t>
      </w:r>
      <w:r w:rsidRPr="00880F72">
        <w:t xml:space="preserve"> Built on the </w:t>
      </w:r>
      <w:r w:rsidRPr="00880F72">
        <w:rPr>
          <w:b/>
          <w:bCs/>
        </w:rPr>
        <w:t>RBI Digital Lending Guidelines</w:t>
      </w:r>
      <w:r w:rsidRPr="00880F72">
        <w:t>. Data is stored locally (Data Sovereignty) with end-to-end AES-256 encryption.</w:t>
      </w:r>
    </w:p>
    <w:p w:rsidR="00925212" w:rsidRPr="00880F72" w:rsidRDefault="00925212" w:rsidP="00880F72">
      <w:pPr>
        <w:pStyle w:val="NormalWeb"/>
        <w:numPr>
          <w:ilvl w:val="0"/>
          <w:numId w:val="6"/>
        </w:numPr>
        <w:jc w:val="both"/>
      </w:pPr>
      <w:r w:rsidRPr="00880F72">
        <w:rPr>
          <w:b/>
          <w:bCs/>
        </w:rPr>
        <w:t>Account Aggregator (AA) Integration:</w:t>
      </w:r>
      <w:r w:rsidRPr="00880F72">
        <w:t xml:space="preserve"> Users can share their financial data securely without uploading physical PDFs, ensuring 100% data integrity.</w:t>
      </w:r>
    </w:p>
    <w:p w:rsidR="00925212" w:rsidRPr="00880F72" w:rsidRDefault="00925212" w:rsidP="00880F72">
      <w:pPr>
        <w:pStyle w:val="NormalWeb"/>
        <w:numPr>
          <w:ilvl w:val="0"/>
          <w:numId w:val="6"/>
        </w:numPr>
        <w:jc w:val="both"/>
      </w:pPr>
      <w:r w:rsidRPr="00880F72">
        <w:rPr>
          <w:b/>
          <w:bCs/>
        </w:rPr>
        <w:t>Scalability:</w:t>
      </w:r>
      <w:r w:rsidRPr="00880F72">
        <w:t xml:space="preserve"> Hosted on a </w:t>
      </w:r>
      <w:proofErr w:type="spellStart"/>
      <w:r w:rsidRPr="00880F72">
        <w:t>serverless</w:t>
      </w:r>
      <w:proofErr w:type="spellEnd"/>
      <w:r w:rsidRPr="00880F72">
        <w:t xml:space="preserve"> architecture that can scale from 100 to 100,000 applications during peak business seasons (e.g., </w:t>
      </w:r>
      <w:proofErr w:type="spellStart"/>
      <w:r w:rsidRPr="00880F72">
        <w:t>Diwali</w:t>
      </w:r>
      <w:proofErr w:type="spellEnd"/>
      <w:r w:rsidRPr="00880F72">
        <w:t>).</w:t>
      </w:r>
    </w:p>
    <w:p w:rsidR="00925212" w:rsidRPr="00880F72" w:rsidRDefault="00765D50" w:rsidP="00880F72">
      <w:pPr>
        <w:pStyle w:val="NormalWeb"/>
        <w:jc w:val="both"/>
      </w:pPr>
      <w:r w:rsidRPr="00880F72">
        <w:pict>
          <v:rect id="_x0000_i1030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lastRenderedPageBreak/>
        <w:t>6. Cost Effectiveness</w:t>
      </w:r>
    </w:p>
    <w:p w:rsidR="00925212" w:rsidRPr="00880F72" w:rsidRDefault="00925212" w:rsidP="00880F72">
      <w:pPr>
        <w:pStyle w:val="NormalWeb"/>
        <w:numPr>
          <w:ilvl w:val="0"/>
          <w:numId w:val="7"/>
        </w:numPr>
        <w:jc w:val="both"/>
      </w:pPr>
      <w:r w:rsidRPr="00880F72">
        <w:rPr>
          <w:b/>
          <w:bCs/>
        </w:rPr>
        <w:t xml:space="preserve">Zero Physical </w:t>
      </w:r>
      <w:proofErr w:type="gramStart"/>
      <w:r w:rsidRPr="00880F72">
        <w:rPr>
          <w:b/>
          <w:bCs/>
        </w:rPr>
        <w:t>Infrastructure</w:t>
      </w:r>
      <w:proofErr w:type="gramEnd"/>
      <w:r w:rsidRPr="00880F72">
        <w:rPr>
          <w:b/>
          <w:bCs/>
        </w:rPr>
        <w:t>:</w:t>
      </w:r>
      <w:r w:rsidRPr="00880F72">
        <w:t xml:space="preserve"> By eliminating brick-and-mortar branches and manual credit officers, we reduce the </w:t>
      </w:r>
      <w:r w:rsidRPr="00880F72">
        <w:rPr>
          <w:b/>
          <w:bCs/>
        </w:rPr>
        <w:t>Operating Expense (</w:t>
      </w:r>
      <w:proofErr w:type="spellStart"/>
      <w:r w:rsidRPr="00880F72">
        <w:rPr>
          <w:b/>
          <w:bCs/>
        </w:rPr>
        <w:t>OpEx</w:t>
      </w:r>
      <w:proofErr w:type="spellEnd"/>
      <w:r w:rsidRPr="00880F72">
        <w:rPr>
          <w:b/>
          <w:bCs/>
        </w:rPr>
        <w:t>)</w:t>
      </w:r>
      <w:r w:rsidRPr="00880F72">
        <w:t xml:space="preserve"> by </w:t>
      </w:r>
      <w:r w:rsidRPr="00880F72">
        <w:rPr>
          <w:b/>
          <w:bCs/>
        </w:rPr>
        <w:t>75%</w:t>
      </w:r>
      <w:r w:rsidRPr="00880F72">
        <w:t>.</w:t>
      </w:r>
    </w:p>
    <w:p w:rsidR="00925212" w:rsidRPr="00880F72" w:rsidRDefault="00925212" w:rsidP="00880F72">
      <w:pPr>
        <w:pStyle w:val="NormalWeb"/>
        <w:numPr>
          <w:ilvl w:val="0"/>
          <w:numId w:val="7"/>
        </w:numPr>
        <w:jc w:val="both"/>
      </w:pPr>
      <w:r w:rsidRPr="00880F72">
        <w:rPr>
          <w:b/>
          <w:bCs/>
        </w:rPr>
        <w:t>Dynamic Pricing:</w:t>
      </w:r>
      <w:r w:rsidRPr="00880F72">
        <w:t xml:space="preserve"> Our AI adjusts interest rates based on risk. Low-risk "Star" MSMEs get lower rates, making the platform competitive against traditional banks.</w:t>
      </w:r>
    </w:p>
    <w:p w:rsidR="00925212" w:rsidRPr="00880F72" w:rsidRDefault="00765D50" w:rsidP="00880F72">
      <w:pPr>
        <w:pStyle w:val="NormalWeb"/>
        <w:jc w:val="both"/>
      </w:pPr>
      <w:r w:rsidRPr="00880F72">
        <w:pict>
          <v:rect id="_x0000_i1031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7. Flexible Product Suite (Meeting MSME Needs)</w:t>
      </w:r>
    </w:p>
    <w:p w:rsidR="00925212" w:rsidRPr="00880F72" w:rsidRDefault="00925212" w:rsidP="00880F72">
      <w:pPr>
        <w:pStyle w:val="NormalWeb"/>
        <w:jc w:val="both"/>
      </w:pPr>
      <w:r w:rsidRPr="00880F72">
        <w:t>We implemented three "Growth-First" financial products:</w:t>
      </w:r>
    </w:p>
    <w:p w:rsidR="00925212" w:rsidRPr="00880F72" w:rsidRDefault="00925212" w:rsidP="00880F72">
      <w:pPr>
        <w:pStyle w:val="NormalWeb"/>
        <w:numPr>
          <w:ilvl w:val="0"/>
          <w:numId w:val="8"/>
        </w:numPr>
        <w:jc w:val="both"/>
      </w:pPr>
      <w:r w:rsidRPr="00880F72">
        <w:rPr>
          <w:b/>
          <w:bCs/>
        </w:rPr>
        <w:t>Invoice Financing:</w:t>
      </w:r>
      <w:r w:rsidRPr="00880F72">
        <w:t xml:space="preserve"> Get 80% of an unpaid invoice value immediately.</w:t>
      </w:r>
    </w:p>
    <w:p w:rsidR="00925212" w:rsidRPr="00880F72" w:rsidRDefault="00925212" w:rsidP="00880F72">
      <w:pPr>
        <w:pStyle w:val="NormalWeb"/>
        <w:numPr>
          <w:ilvl w:val="0"/>
          <w:numId w:val="8"/>
        </w:numPr>
        <w:jc w:val="both"/>
      </w:pPr>
      <w:r w:rsidRPr="00880F72">
        <w:rPr>
          <w:b/>
          <w:bCs/>
        </w:rPr>
        <w:t>Purchase Order (PO) Financing:</w:t>
      </w:r>
      <w:r w:rsidRPr="00880F72">
        <w:t xml:space="preserve"> Capital provided against confirmed buyer orders.</w:t>
      </w:r>
    </w:p>
    <w:p w:rsidR="00925212" w:rsidRPr="00880F72" w:rsidRDefault="00925212" w:rsidP="00880F72">
      <w:pPr>
        <w:pStyle w:val="NormalWeb"/>
        <w:numPr>
          <w:ilvl w:val="0"/>
          <w:numId w:val="8"/>
        </w:numPr>
        <w:jc w:val="both"/>
      </w:pPr>
      <w:r w:rsidRPr="00880F72">
        <w:rPr>
          <w:b/>
          <w:bCs/>
        </w:rPr>
        <w:t>Revenue-Based Lending:</w:t>
      </w:r>
      <w:r w:rsidRPr="00880F72">
        <w:t xml:space="preserve"> Repayment is a % of daily sales—if business is slow, the repayment amount automatically drops.</w:t>
      </w:r>
    </w:p>
    <w:p w:rsidR="00925212" w:rsidRPr="00880F72" w:rsidRDefault="00765D50" w:rsidP="00880F72">
      <w:pPr>
        <w:pStyle w:val="NormalWeb"/>
        <w:jc w:val="both"/>
      </w:pPr>
      <w:r w:rsidRPr="00880F72">
        <w:pict>
          <v:rect id="_x0000_i1032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8. Requirement Satisfaction Matrix</w:t>
      </w:r>
    </w:p>
    <w:p w:rsidR="00925212" w:rsidRPr="00880F72" w:rsidRDefault="00925212" w:rsidP="00880F72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1787"/>
        <w:gridCol w:w="7455"/>
      </w:tblGrid>
      <w:tr w:rsidR="00925212" w:rsidRPr="00880F72" w:rsidTr="00925212"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lang w:eastAsia="en-IN"/>
              </w:rPr>
              <w:t>Our Implementation</w:t>
            </w:r>
          </w:p>
        </w:tc>
      </w:tr>
      <w:tr w:rsidR="00925212" w:rsidRPr="00880F72" w:rsidTr="00925212"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Speed</w:t>
            </w:r>
          </w:p>
        </w:tc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24-hour turnaround from application to disbursement.</w:t>
            </w:r>
          </w:p>
        </w:tc>
      </w:tr>
      <w:tr w:rsidR="00925212" w:rsidRPr="00880F72" w:rsidTr="00925212"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Automation</w:t>
            </w:r>
          </w:p>
        </w:tc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Full OCR/NLP pipeline for 100% paperless processing.</w:t>
            </w:r>
          </w:p>
        </w:tc>
      </w:tr>
      <w:tr w:rsidR="00925212" w:rsidRPr="00880F72" w:rsidTr="00925212"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Integration</w:t>
            </w:r>
          </w:p>
        </w:tc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Live APIs for GST, Bank Statements, and Video KYC.</w:t>
            </w:r>
          </w:p>
        </w:tc>
      </w:tr>
      <w:tr w:rsidR="00925212" w:rsidRPr="00880F72" w:rsidTr="00925212"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Repayment</w:t>
            </w:r>
          </w:p>
        </w:tc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 xml:space="preserve">Flexible, revenue-linked options with UPI </w:t>
            </w:r>
            <w:proofErr w:type="spellStart"/>
            <w:r w:rsidRPr="00880F72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Autopay</w:t>
            </w:r>
            <w:proofErr w:type="spellEnd"/>
            <w:r w:rsidRPr="00880F72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.</w:t>
            </w:r>
          </w:p>
        </w:tc>
      </w:tr>
      <w:tr w:rsidR="00925212" w:rsidRPr="00880F72" w:rsidTr="00925212"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Innovation</w:t>
            </w:r>
          </w:p>
        </w:tc>
        <w:tc>
          <w:tcPr>
            <w:tcW w:w="0" w:type="auto"/>
            <w:hideMark/>
          </w:tcPr>
          <w:p w:rsidR="00925212" w:rsidRPr="00880F72" w:rsidRDefault="00925212" w:rsidP="00880F72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en-IN"/>
              </w:rPr>
            </w:pPr>
            <w:r w:rsidRPr="00880F72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en-IN"/>
              </w:rPr>
              <w:t>AI-driven "Health Score" replacing traditional CIBIL-only logic.</w:t>
            </w:r>
          </w:p>
        </w:tc>
      </w:tr>
    </w:tbl>
    <w:p w:rsidR="00925212" w:rsidRPr="00880F72" w:rsidRDefault="00765D50" w:rsidP="00880F72">
      <w:pPr>
        <w:pStyle w:val="NormalWeb"/>
        <w:jc w:val="both"/>
      </w:pPr>
      <w:r w:rsidRPr="00880F72">
        <w:pict>
          <v:rect id="_x0000_i1033" style="width:0;height:1.5pt" o:hralign="center" o:hrstd="t" o:hr="t" fillcolor="#a0a0a0" stroked="f"/>
        </w:pict>
      </w:r>
    </w:p>
    <w:p w:rsidR="00A9643F" w:rsidRPr="00880F72" w:rsidRDefault="00A9643F" w:rsidP="00880F72">
      <w:pPr>
        <w:pStyle w:val="Heading3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9. Figures and explanations</w:t>
      </w:r>
    </w:p>
    <w:p w:rsidR="00A9643F" w:rsidRPr="00880F72" w:rsidRDefault="00A9643F" w:rsidP="00880F72">
      <w:pPr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System Context Diagram (DFD Level 0)</w:t>
      </w:r>
    </w:p>
    <w:p w:rsidR="00A9643F" w:rsidRPr="00880F72" w:rsidRDefault="00A9643F" w:rsidP="00880F72">
      <w:pPr>
        <w:pStyle w:val="NormalWeb"/>
        <w:numPr>
          <w:ilvl w:val="0"/>
          <w:numId w:val="11"/>
        </w:numPr>
        <w:jc w:val="both"/>
      </w:pPr>
      <w:r w:rsidRPr="00880F7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3045460" cy="1648460"/>
            <wp:effectExtent l="19050" t="0" r="2540" b="0"/>
            <wp:wrapSquare wrapText="bothSides"/>
            <wp:docPr id="1" name="Picture 0" descr="Gemini_Generated_Image_dht2q7dht2q7dht2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dht2q7dht2q7dht2 (4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0F72">
        <w:rPr>
          <w:b/>
          <w:bCs/>
        </w:rPr>
        <w:t>Description:</w:t>
      </w:r>
      <w:r w:rsidRPr="00880F72">
        <w:t xml:space="preserve"> This flat, schema-style view establishes the fundamental </w:t>
      </w:r>
      <w:r w:rsidRPr="00880F72">
        <w:rPr>
          <w:b/>
          <w:bCs/>
        </w:rPr>
        <w:t>System Context (DFD 0)</w:t>
      </w:r>
      <w:r w:rsidRPr="00880F72">
        <w:t xml:space="preserve">. It replaces the perspective </w:t>
      </w:r>
      <w:proofErr w:type="spellStart"/>
      <w:r w:rsidRPr="00880F72">
        <w:t>mockup</w:t>
      </w:r>
      <w:proofErr w:type="spellEnd"/>
      <w:r w:rsidRPr="00880F72">
        <w:t xml:space="preserve"> with clear 2D rectangular nodes and straightforward data flow arrows. The central '</w:t>
      </w:r>
      <w:proofErr w:type="spellStart"/>
      <w:r w:rsidRPr="00880F72">
        <w:t>FinFlow</w:t>
      </w:r>
      <w:proofErr w:type="spellEnd"/>
      <w:r w:rsidRPr="00880F72">
        <w:t xml:space="preserve"> Core Platform' is shown interacting with external entities (Borrower, GSTN, </w:t>
      </w:r>
      <w:proofErr w:type="gramStart"/>
      <w:r w:rsidRPr="00880F72">
        <w:t>Account</w:t>
      </w:r>
      <w:proofErr w:type="gramEnd"/>
      <w:r w:rsidRPr="00880F72">
        <w:t xml:space="preserve"> Aggregator), precisely defining the scope required for standard software development analysis.</w:t>
      </w:r>
    </w:p>
    <w:p w:rsidR="00A9643F" w:rsidRPr="00880F72" w:rsidRDefault="00A9643F" w:rsidP="00880F72">
      <w:pPr>
        <w:pStyle w:val="NoSpacing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933450" y="914400"/>
            <wp:positionH relativeFrom="margin">
              <wp:align>left</wp:align>
            </wp:positionH>
            <wp:positionV relativeFrom="margin">
              <wp:align>top</wp:align>
            </wp:positionV>
            <wp:extent cx="3536769" cy="1926771"/>
            <wp:effectExtent l="19050" t="0" r="6531" b="0"/>
            <wp:wrapSquare wrapText="bothSides"/>
            <wp:docPr id="7" name="Picture 2" descr="Gemini_Generated_Image_dht2q7dht2q7dht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dht2q7dht2q7dht2 (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769" cy="1926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643F" w:rsidRPr="00880F72" w:rsidRDefault="00A9643F" w:rsidP="00880F72">
      <w:pPr>
        <w:pStyle w:val="NoSpacing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Figure 2: 2D Automated Underwriting Data Fusion Logic</w:t>
      </w:r>
    </w:p>
    <w:p w:rsidR="00A9643F" w:rsidRPr="00880F72" w:rsidRDefault="00A9643F" w:rsidP="00880F72">
      <w:pPr>
        <w:pStyle w:val="NormalWeb"/>
        <w:numPr>
          <w:ilvl w:val="0"/>
          <w:numId w:val="12"/>
        </w:numPr>
        <w:jc w:val="both"/>
      </w:pPr>
      <w:r w:rsidRPr="00880F72">
        <w:rPr>
          <w:b/>
          <w:bCs/>
        </w:rPr>
        <w:t>Description:</w:t>
      </w:r>
      <w:r w:rsidRPr="00880F72">
        <w:t xml:space="preserve"> This 2D diagram details the </w:t>
      </w:r>
      <w:r w:rsidRPr="00880F72">
        <w:rPr>
          <w:b/>
          <w:bCs/>
        </w:rPr>
        <w:t>AI Underwriting Engine’s</w:t>
      </w:r>
      <w:r w:rsidRPr="00880F72">
        <w:t xml:space="preserve"> process. It uses flat input modules (GST, Bank Statements, Payment Logs) and a central 'AI Fusion Layer' gateway (illustrated using a logic gate symbol) to visualize the data fusion process. The diagram is designed to be easily read in a 2D technical document, showing exactly how alternative data inputs are transformed into key 2D metrics like the </w:t>
      </w:r>
      <w:r w:rsidRPr="00880F72">
        <w:rPr>
          <w:b/>
          <w:bCs/>
        </w:rPr>
        <w:t>Cash Flow Stability Score</w:t>
      </w:r>
      <w:r w:rsidRPr="00880F72">
        <w:t xml:space="preserve"> and the </w:t>
      </w:r>
      <w:r w:rsidRPr="00880F72">
        <w:rPr>
          <w:b/>
          <w:bCs/>
        </w:rPr>
        <w:t xml:space="preserve">Predictive </w:t>
      </w:r>
      <w:proofErr w:type="spellStart"/>
      <w:r w:rsidRPr="00880F72">
        <w:rPr>
          <w:b/>
          <w:bCs/>
        </w:rPr>
        <w:t>Repayement</w:t>
      </w:r>
      <w:proofErr w:type="spellEnd"/>
      <w:r w:rsidRPr="00880F72">
        <w:rPr>
          <w:b/>
          <w:bCs/>
        </w:rPr>
        <w:t xml:space="preserve"> capacity</w:t>
      </w:r>
    </w:p>
    <w:p w:rsidR="00A9643F" w:rsidRPr="00880F72" w:rsidRDefault="00A9643F" w:rsidP="00880F72">
      <w:pPr>
        <w:pStyle w:val="NoSpacing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933450" y="4386943"/>
            <wp:positionH relativeFrom="margin">
              <wp:align>left</wp:align>
            </wp:positionH>
            <wp:positionV relativeFrom="margin">
              <wp:align>center</wp:align>
            </wp:positionV>
            <wp:extent cx="3170464" cy="1730828"/>
            <wp:effectExtent l="19050" t="0" r="0" b="0"/>
            <wp:wrapSquare wrapText="bothSides"/>
            <wp:docPr id="9" name="Picture 1" descr="Gemini_Generated_Image_dht2q7dht2q7dht2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dht2q7dht2q7dht2 (3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464" cy="1730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643F" w:rsidRPr="00880F72" w:rsidRDefault="00A9643F" w:rsidP="00880F72">
      <w:pPr>
        <w:pStyle w:val="NoSpacing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 xml:space="preserve"> Figure 3: 2D Ecosystem Schematic (</w:t>
      </w:r>
      <w:proofErr w:type="spellStart"/>
      <w:r w:rsidRPr="00880F72">
        <w:rPr>
          <w:rFonts w:ascii="Times New Roman" w:hAnsi="Times New Roman" w:cs="Times New Roman"/>
        </w:rPr>
        <w:t>Microservices</w:t>
      </w:r>
      <w:proofErr w:type="spellEnd"/>
      <w:r w:rsidRPr="00880F72">
        <w:rPr>
          <w:rFonts w:ascii="Times New Roman" w:hAnsi="Times New Roman" w:cs="Times New Roman"/>
        </w:rPr>
        <w:t xml:space="preserve"> / Level 1)</w:t>
      </w:r>
    </w:p>
    <w:p w:rsidR="00880F72" w:rsidRPr="00880F72" w:rsidRDefault="00A9643F" w:rsidP="00880F72">
      <w:pPr>
        <w:pStyle w:val="NormalWeb"/>
        <w:numPr>
          <w:ilvl w:val="0"/>
          <w:numId w:val="13"/>
        </w:numPr>
        <w:jc w:val="both"/>
      </w:pPr>
      <w:r w:rsidRPr="00880F72">
        <w:rPr>
          <w:b/>
          <w:bCs/>
        </w:rPr>
        <w:t>Description:</w:t>
      </w:r>
      <w:r w:rsidRPr="00880F72">
        <w:t xml:space="preserve"> This </w:t>
      </w:r>
      <w:r w:rsidRPr="00880F72">
        <w:rPr>
          <w:b/>
          <w:bCs/>
        </w:rPr>
        <w:t>Technical Architecture (Level 1)</w:t>
      </w:r>
      <w:r w:rsidRPr="00880F72">
        <w:t xml:space="preserve"> has been converted from a </w:t>
      </w:r>
      <w:proofErr w:type="spellStart"/>
      <w:r w:rsidRPr="00880F72">
        <w:t>microservices</w:t>
      </w:r>
      <w:proofErr w:type="spellEnd"/>
      <w:r w:rsidRPr="00880F72">
        <w:t xml:space="preserve"> icon set to a clean 2D schematic. It uses unified rectangular and square nodes to represent the distinct functional components of the platform: </w:t>
      </w:r>
      <w:r w:rsidRPr="00880F72">
        <w:rPr>
          <w:b/>
          <w:bCs/>
        </w:rPr>
        <w:t>Automated Underwriting, Identity &amp; Access (KYC), Document Processing (OCR/NLP), and the Loan Management System.</w:t>
      </w:r>
      <w:r w:rsidRPr="00880F72">
        <w:t xml:space="preserve"> This consistent flat design provides a clear, scalable blueprint for implementation, which is essential for engineering documentation</w:t>
      </w:r>
    </w:p>
    <w:p w:rsidR="00880F72" w:rsidRPr="00880F72" w:rsidRDefault="00A9643F" w:rsidP="00880F72">
      <w:pPr>
        <w:jc w:val="both"/>
        <w:rPr>
          <w:rFonts w:ascii="Times New Roman" w:hAnsi="Times New Roman" w:cs="Times New Roman"/>
          <w:b/>
        </w:rPr>
      </w:pPr>
      <w:r w:rsidRPr="00880F72">
        <w:rPr>
          <w:rFonts w:ascii="Times New Roman" w:hAnsi="Times New Roman" w:cs="Times New Roman"/>
        </w:rPr>
        <w:t>.</w:t>
      </w:r>
      <w:r w:rsidR="00880F72" w:rsidRPr="00880F72">
        <w:rPr>
          <w:rFonts w:ascii="Times New Roman" w:hAnsi="Times New Roman" w:cs="Times New Roman"/>
          <w:b/>
          <w:bCs/>
          <w:noProof/>
        </w:rPr>
        <w:t xml:space="preserve"> </w:t>
      </w:r>
      <w:r w:rsidR="00880F72" w:rsidRPr="00880F72">
        <w:rPr>
          <w:rFonts w:ascii="Times New Roman" w:hAnsi="Times New Roman" w:cs="Times New Roman"/>
        </w:rPr>
        <w:t>Figure 4: 2D UML Use Case Diagram</w:t>
      </w:r>
    </w:p>
    <w:p w:rsidR="00880F72" w:rsidRPr="00880F72" w:rsidRDefault="00880F72" w:rsidP="00880F72">
      <w:pPr>
        <w:pStyle w:val="NormalWeb"/>
        <w:numPr>
          <w:ilvl w:val="0"/>
          <w:numId w:val="14"/>
        </w:numPr>
        <w:jc w:val="both"/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3556000" cy="1877060"/>
            <wp:effectExtent l="19050" t="0" r="6350" b="0"/>
            <wp:wrapSquare wrapText="bothSides"/>
            <wp:docPr id="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516" t="1799" r="2914" b="3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187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80F72">
        <w:rPr>
          <w:b/>
          <w:bCs/>
        </w:rPr>
        <w:t>Description:</w:t>
      </w:r>
      <w:r w:rsidRPr="00880F72">
        <w:t xml:space="preserve"> This diagram provides a finalized </w:t>
      </w:r>
      <w:r w:rsidRPr="00880F72">
        <w:rPr>
          <w:b/>
          <w:bCs/>
        </w:rPr>
        <w:t>2D UML Standard Use Case Diagram</w:t>
      </w:r>
      <w:r w:rsidRPr="00880F72">
        <w:t xml:space="preserve">. It uses simple 2D ovals for functionality and flat stick figures for actors (MSME Borrower, Credit Officer, Admin), strictly adhering to unified </w:t>
      </w:r>
      <w:proofErr w:type="spellStart"/>
      <w:r w:rsidRPr="00880F72">
        <w:t>modeling</w:t>
      </w:r>
      <w:proofErr w:type="spellEnd"/>
      <w:r w:rsidRPr="00880F72">
        <w:t xml:space="preserve"> language standards. The boundary box, dependency arrows, and include/generalization labels are all rendered in a single flat plane, providing an unambiguous overview of system functionality for standard software documentation.</w:t>
      </w:r>
    </w:p>
    <w:p w:rsidR="00A9643F" w:rsidRPr="00880F72" w:rsidRDefault="00A9643F" w:rsidP="00880F72">
      <w:pPr>
        <w:pStyle w:val="NormalWeb"/>
        <w:ind w:left="720"/>
        <w:jc w:val="both"/>
      </w:pPr>
    </w:p>
    <w:p w:rsidR="00880F72" w:rsidRDefault="00880F72" w:rsidP="00880F72">
      <w:pPr>
        <w:pStyle w:val="Heading2"/>
        <w:jc w:val="both"/>
        <w:rPr>
          <w:rFonts w:ascii="Times New Roman" w:hAnsi="Times New Roman" w:cs="Times New Roman"/>
        </w:rPr>
      </w:pPr>
    </w:p>
    <w:p w:rsidR="00880F72" w:rsidRDefault="00880F72" w:rsidP="00880F72">
      <w:pPr>
        <w:jc w:val="both"/>
      </w:pPr>
    </w:p>
    <w:p w:rsidR="00880F72" w:rsidRPr="00880F72" w:rsidRDefault="00880F72" w:rsidP="00880F72">
      <w:pPr>
        <w:jc w:val="both"/>
      </w:pPr>
    </w:p>
    <w:p w:rsidR="00925212" w:rsidRPr="00880F72" w:rsidRDefault="00925212" w:rsidP="00880F72">
      <w:pPr>
        <w:pStyle w:val="Heading2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9. References &amp; Data Sources</w:t>
      </w:r>
    </w:p>
    <w:p w:rsidR="00925212" w:rsidRPr="00880F72" w:rsidRDefault="00925212" w:rsidP="00880F72">
      <w:pPr>
        <w:pStyle w:val="NormalWeb"/>
        <w:numPr>
          <w:ilvl w:val="0"/>
          <w:numId w:val="9"/>
        </w:numPr>
        <w:jc w:val="both"/>
      </w:pPr>
      <w:r w:rsidRPr="00880F72">
        <w:rPr>
          <w:b/>
          <w:bCs/>
        </w:rPr>
        <w:t>RBI Digital Lending Guidelines (2024):</w:t>
      </w:r>
      <w:r w:rsidRPr="00880F72">
        <w:t xml:space="preserve"> Framework for digital credit and customer protection.</w:t>
      </w:r>
    </w:p>
    <w:p w:rsidR="00925212" w:rsidRPr="00880F72" w:rsidRDefault="00925212" w:rsidP="00880F72">
      <w:pPr>
        <w:pStyle w:val="NormalWeb"/>
        <w:numPr>
          <w:ilvl w:val="0"/>
          <w:numId w:val="9"/>
        </w:numPr>
        <w:jc w:val="both"/>
      </w:pPr>
      <w:proofErr w:type="spellStart"/>
      <w:r w:rsidRPr="00880F72">
        <w:rPr>
          <w:b/>
          <w:bCs/>
        </w:rPr>
        <w:t>Sahamati</w:t>
      </w:r>
      <w:proofErr w:type="spellEnd"/>
      <w:r w:rsidRPr="00880F72">
        <w:rPr>
          <w:b/>
          <w:bCs/>
        </w:rPr>
        <w:t xml:space="preserve"> (Account Aggregator):</w:t>
      </w:r>
      <w:r w:rsidRPr="00880F72">
        <w:t xml:space="preserve"> Documentation on the consent-based data-sharing layer.</w:t>
      </w:r>
    </w:p>
    <w:p w:rsidR="00925212" w:rsidRPr="00880F72" w:rsidRDefault="00925212" w:rsidP="00880F72">
      <w:pPr>
        <w:pStyle w:val="NormalWeb"/>
        <w:numPr>
          <w:ilvl w:val="0"/>
          <w:numId w:val="9"/>
        </w:numPr>
        <w:jc w:val="both"/>
      </w:pPr>
      <w:r w:rsidRPr="00880F72">
        <w:rPr>
          <w:b/>
          <w:bCs/>
        </w:rPr>
        <w:t>MSME Pulse Report (SIDBI/</w:t>
      </w:r>
      <w:proofErr w:type="spellStart"/>
      <w:r w:rsidRPr="00880F72">
        <w:rPr>
          <w:b/>
          <w:bCs/>
        </w:rPr>
        <w:t>TransUnion</w:t>
      </w:r>
      <w:proofErr w:type="spellEnd"/>
      <w:r w:rsidRPr="00880F72">
        <w:rPr>
          <w:b/>
          <w:bCs/>
        </w:rPr>
        <w:t xml:space="preserve"> CIBIL):</w:t>
      </w:r>
      <w:r w:rsidRPr="00880F72">
        <w:t xml:space="preserve"> Insights into the ₹20L </w:t>
      </w:r>
      <w:proofErr w:type="spellStart"/>
      <w:r w:rsidRPr="00880F72">
        <w:t>crore</w:t>
      </w:r>
      <w:proofErr w:type="spellEnd"/>
      <w:r w:rsidRPr="00880F72">
        <w:t xml:space="preserve"> credit gap in India.</w:t>
      </w:r>
    </w:p>
    <w:p w:rsidR="00925212" w:rsidRPr="00880F72" w:rsidRDefault="00925212" w:rsidP="00880F72">
      <w:pPr>
        <w:pStyle w:val="NormalWeb"/>
        <w:numPr>
          <w:ilvl w:val="0"/>
          <w:numId w:val="9"/>
        </w:numPr>
        <w:jc w:val="both"/>
      </w:pPr>
      <w:proofErr w:type="spellStart"/>
      <w:r w:rsidRPr="00880F72">
        <w:rPr>
          <w:b/>
          <w:bCs/>
        </w:rPr>
        <w:t>Tesseract</w:t>
      </w:r>
      <w:proofErr w:type="spellEnd"/>
      <w:r w:rsidRPr="00880F72">
        <w:rPr>
          <w:b/>
          <w:bCs/>
        </w:rPr>
        <w:t xml:space="preserve"> OCR Documentation:</w:t>
      </w:r>
      <w:r w:rsidRPr="00880F72">
        <w:t xml:space="preserve"> For automated document analysis implementation.</w:t>
      </w:r>
    </w:p>
    <w:p w:rsidR="00925212" w:rsidRPr="00880F72" w:rsidRDefault="00765D50" w:rsidP="00880F72">
      <w:pPr>
        <w:jc w:val="both"/>
        <w:rPr>
          <w:rFonts w:ascii="Times New Roman" w:hAnsi="Times New Roman" w:cs="Times New Roman"/>
        </w:rPr>
      </w:pPr>
      <w:r w:rsidRPr="00880F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25212" w:rsidRPr="00880F72" w:rsidRDefault="00925212" w:rsidP="00880F72">
      <w:pPr>
        <w:pStyle w:val="Heading3"/>
        <w:jc w:val="both"/>
        <w:rPr>
          <w:rFonts w:ascii="Times New Roman" w:hAnsi="Times New Roman" w:cs="Times New Roman"/>
        </w:rPr>
      </w:pPr>
      <w:r w:rsidRPr="00880F72">
        <w:rPr>
          <w:rFonts w:ascii="Times New Roman" w:hAnsi="Times New Roman" w:cs="Times New Roman"/>
        </w:rPr>
        <w:t>Implementation Pro-Tip for your MS Word Doc:</w:t>
      </w:r>
    </w:p>
    <w:p w:rsidR="00925212" w:rsidRPr="00880F72" w:rsidRDefault="00925212" w:rsidP="00880F72">
      <w:pPr>
        <w:pStyle w:val="NormalWeb"/>
        <w:numPr>
          <w:ilvl w:val="0"/>
          <w:numId w:val="10"/>
        </w:numPr>
        <w:jc w:val="both"/>
      </w:pPr>
      <w:r w:rsidRPr="00880F72">
        <w:rPr>
          <w:b/>
          <w:bCs/>
        </w:rPr>
        <w:t>Use Bold Text:</w:t>
      </w:r>
      <w:r w:rsidRPr="00880F72">
        <w:t xml:space="preserve"> For key metrics (e.g., </w:t>
      </w:r>
      <w:r w:rsidRPr="00880F72">
        <w:rPr>
          <w:b/>
          <w:bCs/>
        </w:rPr>
        <w:t xml:space="preserve">₹20 </w:t>
      </w:r>
      <w:proofErr w:type="spellStart"/>
      <w:r w:rsidRPr="00880F72">
        <w:rPr>
          <w:b/>
          <w:bCs/>
        </w:rPr>
        <w:t>Lakh</w:t>
      </w:r>
      <w:proofErr w:type="spellEnd"/>
      <w:r w:rsidRPr="00880F72">
        <w:rPr>
          <w:b/>
          <w:bCs/>
        </w:rPr>
        <w:t xml:space="preserve"> </w:t>
      </w:r>
      <w:proofErr w:type="spellStart"/>
      <w:r w:rsidRPr="00880F72">
        <w:rPr>
          <w:b/>
          <w:bCs/>
        </w:rPr>
        <w:t>Crore</w:t>
      </w:r>
      <w:proofErr w:type="spellEnd"/>
      <w:r w:rsidRPr="00880F72">
        <w:t xml:space="preserve">, </w:t>
      </w:r>
      <w:r w:rsidRPr="00880F72">
        <w:rPr>
          <w:b/>
          <w:bCs/>
        </w:rPr>
        <w:t>24-48 Hours</w:t>
      </w:r>
      <w:r w:rsidRPr="00880F72">
        <w:t>).</w:t>
      </w:r>
    </w:p>
    <w:p w:rsidR="00925212" w:rsidRPr="00880F72" w:rsidRDefault="00925212" w:rsidP="00880F72">
      <w:pPr>
        <w:pStyle w:val="NormalWeb"/>
        <w:numPr>
          <w:ilvl w:val="0"/>
          <w:numId w:val="10"/>
        </w:numPr>
        <w:jc w:val="both"/>
      </w:pPr>
      <w:r w:rsidRPr="00880F72">
        <w:rPr>
          <w:b/>
          <w:bCs/>
        </w:rPr>
        <w:t xml:space="preserve">Hyperlink </w:t>
      </w:r>
      <w:proofErr w:type="gramStart"/>
      <w:r w:rsidRPr="00880F72">
        <w:rPr>
          <w:b/>
          <w:bCs/>
        </w:rPr>
        <w:t>your</w:t>
      </w:r>
      <w:proofErr w:type="gramEnd"/>
      <w:r w:rsidRPr="00880F72">
        <w:rPr>
          <w:b/>
          <w:bCs/>
        </w:rPr>
        <w:t xml:space="preserve"> References:</w:t>
      </w:r>
      <w:r w:rsidRPr="00880F72">
        <w:t xml:space="preserve"> It shows the judges you have grounded your project in real-world policy.</w:t>
      </w:r>
    </w:p>
    <w:p w:rsidR="00925212" w:rsidRPr="00880F72" w:rsidRDefault="00925212" w:rsidP="00880F72">
      <w:pPr>
        <w:pStyle w:val="NormalWeb"/>
        <w:numPr>
          <w:ilvl w:val="0"/>
          <w:numId w:val="10"/>
        </w:numPr>
        <w:jc w:val="both"/>
      </w:pPr>
      <w:r w:rsidRPr="00880F72">
        <w:rPr>
          <w:b/>
          <w:bCs/>
        </w:rPr>
        <w:t>Add a "Future Roadmap":</w:t>
      </w:r>
      <w:r w:rsidRPr="00880F72">
        <w:t xml:space="preserve"> Mentioning </w:t>
      </w:r>
      <w:proofErr w:type="spellStart"/>
      <w:r w:rsidRPr="00880F72">
        <w:rPr>
          <w:b/>
          <w:bCs/>
        </w:rPr>
        <w:t>Blockchain</w:t>
      </w:r>
      <w:proofErr w:type="spellEnd"/>
      <w:r w:rsidRPr="00880F72">
        <w:rPr>
          <w:b/>
          <w:bCs/>
        </w:rPr>
        <w:t xml:space="preserve"> for Invoice Veracity</w:t>
      </w:r>
      <w:r w:rsidRPr="00880F72">
        <w:t xml:space="preserve"> or </w:t>
      </w:r>
      <w:r w:rsidRPr="00880F72">
        <w:rPr>
          <w:b/>
          <w:bCs/>
        </w:rPr>
        <w:t xml:space="preserve">AI </w:t>
      </w:r>
      <w:proofErr w:type="spellStart"/>
      <w:r w:rsidRPr="00880F72">
        <w:rPr>
          <w:b/>
          <w:bCs/>
        </w:rPr>
        <w:t>Chatbots</w:t>
      </w:r>
      <w:proofErr w:type="spellEnd"/>
      <w:r w:rsidRPr="00880F72">
        <w:rPr>
          <w:b/>
          <w:bCs/>
        </w:rPr>
        <w:t xml:space="preserve"> for Financial Advice</w:t>
      </w:r>
      <w:r w:rsidRPr="00880F72">
        <w:t xml:space="preserve"> adds an extra layer of "Creativity &amp; Impact."</w:t>
      </w:r>
    </w:p>
    <w:p w:rsidR="00925212" w:rsidRPr="00880F72" w:rsidRDefault="00925212" w:rsidP="00880F72">
      <w:pPr>
        <w:jc w:val="both"/>
        <w:rPr>
          <w:rFonts w:ascii="Times New Roman" w:hAnsi="Times New Roman" w:cs="Times New Roman"/>
        </w:rPr>
      </w:pPr>
    </w:p>
    <w:sectPr w:rsidR="00925212" w:rsidRPr="00880F72" w:rsidSect="00B96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36DFF"/>
    <w:multiLevelType w:val="multilevel"/>
    <w:tmpl w:val="1D78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560337"/>
    <w:multiLevelType w:val="multilevel"/>
    <w:tmpl w:val="230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61AA9"/>
    <w:multiLevelType w:val="multilevel"/>
    <w:tmpl w:val="E7A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A5B23"/>
    <w:multiLevelType w:val="multilevel"/>
    <w:tmpl w:val="0E6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313B07"/>
    <w:multiLevelType w:val="multilevel"/>
    <w:tmpl w:val="652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FB0170"/>
    <w:multiLevelType w:val="multilevel"/>
    <w:tmpl w:val="C70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8F15FA"/>
    <w:multiLevelType w:val="multilevel"/>
    <w:tmpl w:val="BC02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9D728ED"/>
    <w:multiLevelType w:val="multilevel"/>
    <w:tmpl w:val="6F7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6E5BF9"/>
    <w:multiLevelType w:val="multilevel"/>
    <w:tmpl w:val="2E4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5E7DDE"/>
    <w:multiLevelType w:val="multilevel"/>
    <w:tmpl w:val="28D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3468FD"/>
    <w:multiLevelType w:val="multilevel"/>
    <w:tmpl w:val="15E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CD49DD"/>
    <w:multiLevelType w:val="multilevel"/>
    <w:tmpl w:val="AD1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680D81"/>
    <w:multiLevelType w:val="multilevel"/>
    <w:tmpl w:val="7864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6479D0"/>
    <w:multiLevelType w:val="multilevel"/>
    <w:tmpl w:val="D0B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11"/>
  </w:num>
  <w:num w:numId="5">
    <w:abstractNumId w:val="0"/>
  </w:num>
  <w:num w:numId="6">
    <w:abstractNumId w:val="4"/>
  </w:num>
  <w:num w:numId="7">
    <w:abstractNumId w:val="3"/>
  </w:num>
  <w:num w:numId="8">
    <w:abstractNumId w:val="9"/>
  </w:num>
  <w:num w:numId="9">
    <w:abstractNumId w:val="6"/>
  </w:num>
  <w:num w:numId="10">
    <w:abstractNumId w:val="10"/>
  </w:num>
  <w:num w:numId="11">
    <w:abstractNumId w:val="7"/>
  </w:num>
  <w:num w:numId="12">
    <w:abstractNumId w:val="8"/>
  </w:num>
  <w:num w:numId="13">
    <w:abstractNumId w:val="1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925212"/>
    <w:rsid w:val="00047A5E"/>
    <w:rsid w:val="000B13F9"/>
    <w:rsid w:val="000D311E"/>
    <w:rsid w:val="002F4FA7"/>
    <w:rsid w:val="004650AB"/>
    <w:rsid w:val="00765D50"/>
    <w:rsid w:val="00880F72"/>
    <w:rsid w:val="00925212"/>
    <w:rsid w:val="00997DDD"/>
    <w:rsid w:val="00A9643F"/>
    <w:rsid w:val="00B9697A"/>
    <w:rsid w:val="00BF1C89"/>
    <w:rsid w:val="00BF41F6"/>
    <w:rsid w:val="00E71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97A"/>
  </w:style>
  <w:style w:type="paragraph" w:styleId="Heading1">
    <w:name w:val="heading 1"/>
    <w:basedOn w:val="Normal"/>
    <w:link w:val="Heading1Char"/>
    <w:uiPriority w:val="9"/>
    <w:qFormat/>
    <w:rsid w:val="009252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21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2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2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5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52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2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25212"/>
    <w:rPr>
      <w:b/>
      <w:bCs/>
    </w:rPr>
  </w:style>
  <w:style w:type="table" w:styleId="TableGrid">
    <w:name w:val="Table Grid"/>
    <w:basedOn w:val="TableNormal"/>
    <w:uiPriority w:val="59"/>
    <w:rsid w:val="009252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6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43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9643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EFC77D-3460-4B00-8CAA-D5809E0D9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Damini Shrivastava</dc:creator>
  <cp:lastModifiedBy>Damini Shrivastava</cp:lastModifiedBy>
  <cp:revision>2</cp:revision>
  <dcterms:created xsi:type="dcterms:W3CDTF">2026-03-16T17:54:00Z</dcterms:created>
  <dcterms:modified xsi:type="dcterms:W3CDTF">2026-03-16T18:25:00Z</dcterms:modified>
</cp:coreProperties>
</file>