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After installing AWC patch 3.2 if we require certain command icons to be displayed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we need to install that feature seperately.As in Below example</w:t>
      </w:r>
    </w:p>
    <w:p/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need this command icon to be displayed in AWC web client.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Calibri" w:hAnsi="Calibri" w:eastAsia="SimSun" w:cs="Times New Roman"/>
          <w:lang w:val="en-US" w:eastAsia="zh-CN" w:bidi="ar-SA"/>
        </w:rPr>
        <w:drawing>
          <wp:inline distT="0" distB="0" distL="114300" distR="114300">
            <wp:extent cx="4847590" cy="46094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Calibri" w:hAnsi="Calibri" w:eastAsia="SimSun" w:cs="Times New Roman"/>
          <w:lang w:val="en-US" w:eastAsia="zh-CN" w:bidi="ar-SA"/>
        </w:rPr>
      </w:pPr>
    </w:p>
    <w:p>
      <w:p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Active Workspace -&gt;Client-&gt;</w:t>
      </w:r>
      <w:r>
        <w:rPr>
          <w:rFonts w:hint="default"/>
          <w:b/>
          <w:bCs/>
          <w:lang w:val="en-US"/>
        </w:rPr>
        <w:t xml:space="preserve">Requirement Management </w:t>
      </w:r>
      <w:r>
        <w:rPr>
          <w:rFonts w:hint="default"/>
          <w:lang w:val="en-US"/>
        </w:rPr>
        <w:t xml:space="preserve">to display above icon </w:t>
      </w:r>
      <w:bookmarkStart w:id="0" w:name="_GoBack"/>
      <w:bookmarkEnd w:id="0"/>
      <w:r>
        <w:rPr>
          <w:rFonts w:hint="default"/>
          <w:lang w:val="en-US"/>
        </w:rPr>
        <w:t xml:space="preserve">as well as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Active Workspace -&gt;Server Extensions-&gt;</w:t>
      </w:r>
      <w:r>
        <w:rPr>
          <w:rFonts w:hint="default"/>
          <w:b/>
          <w:bCs/>
          <w:lang w:val="en-US"/>
        </w:rPr>
        <w:t>Requirement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  <w:r>
        <w:rPr>
          <w:rFonts w:ascii="Calibri" w:hAnsi="Calibri" w:eastAsia="SimSun" w:cs="Times New Roman"/>
          <w:lang w:val="en-US" w:eastAsia="zh-CN" w:bidi="ar-SA"/>
        </w:rPr>
        <w:drawing>
          <wp:inline distT="0" distB="0" distL="114300" distR="114300">
            <wp:extent cx="5965825" cy="4898390"/>
            <wp:effectExtent l="0" t="0" r="158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489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  <w:r>
        <w:rPr>
          <w:rFonts w:ascii="Calibri" w:hAnsi="Calibri" w:eastAsia="SimSun" w:cs="Times New Roman"/>
          <w:lang w:val="en-US" w:eastAsia="zh-CN" w:bidi="ar-SA"/>
        </w:rPr>
        <w:drawing>
          <wp:inline distT="0" distB="0" distL="114300" distR="114300">
            <wp:extent cx="5717540" cy="4905375"/>
            <wp:effectExtent l="0" t="0" r="165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  <w:r>
        <w:rPr>
          <w:rFonts w:hint="default"/>
          <w:b w:val="0"/>
          <w:bCs w:val="0"/>
          <w:lang w:val="en-US"/>
        </w:rPr>
        <w:t>This icon displays in AWC like this.</w:t>
      </w: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Calibri" w:hAnsi="Calibri" w:eastAsia="SimSun" w:cs="Times New Roman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Times New Roman"/>
          <w:lang w:val="en-US" w:eastAsia="zh-CN" w:bidi="ar-SA"/>
        </w:rPr>
      </w:pPr>
      <w:r>
        <w:rPr>
          <w:rFonts w:ascii="Calibri" w:hAnsi="Calibri" w:eastAsia="SimSun" w:cs="Times New Roman"/>
          <w:lang w:val="en-US" w:eastAsia="zh-CN" w:bidi="ar-SA"/>
        </w:rPr>
        <w:drawing>
          <wp:inline distT="0" distB="0" distL="114300" distR="114300">
            <wp:extent cx="4542790" cy="28473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Times New Roman"/>
          <w:lang w:val="en-US" w:eastAsia="zh-CN" w:bidi="ar-SA"/>
        </w:rPr>
      </w:pPr>
    </w:p>
    <w:p>
      <w:pPr>
        <w:rPr>
          <w:rFonts w:ascii="Calibri" w:hAnsi="Calibri" w:eastAsia="SimSun" w:cs="Times New Roman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-Identity-H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ial-ItalicMT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BoldMT-Identity-H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ourierNewPSMT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77250"/>
    <w:rsid w:val="0F177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2017-05-05T08:32:00Z</dcterms:created>
  <dc:creator>IZNPUNO58</dc:creator>
  <cp:lastModifiedBy>IZNPUNO58</cp:lastModifiedBy>
  <dcterms:modified xsi:type="dcterms:W3CDTF">2017-05-05T08:36:51Z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