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38A" w:rsidRPr="007334C2" w:rsidRDefault="007334C2">
      <w:pPr>
        <w:pStyle w:val="1"/>
      </w:pPr>
      <w:r w:rsidRPr="007334C2">
        <w:t xml:space="preserve">Проект «Секреты </w:t>
      </w:r>
      <w:proofErr w:type="spellStart"/>
      <w:r w:rsidRPr="007334C2">
        <w:t>Темнолесья</w:t>
      </w:r>
      <w:proofErr w:type="spellEnd"/>
      <w:r w:rsidRPr="007334C2">
        <w:t>»</w:t>
      </w:r>
    </w:p>
    <w:p w:rsidR="00A4638A" w:rsidRPr="007334C2" w:rsidRDefault="007334C2">
      <w:r w:rsidRPr="007334C2">
        <w:rPr>
          <w:b/>
        </w:rPr>
        <w:t xml:space="preserve">Цель проекта — </w:t>
      </w:r>
      <w:r w:rsidRPr="007334C2">
        <w:t xml:space="preserve">изучить влияние характеристик игроков и их игровых персонажей на покупку </w:t>
      </w:r>
      <w:proofErr w:type="spellStart"/>
      <w:r w:rsidRPr="007334C2">
        <w:t>внутриигровой</w:t>
      </w:r>
      <w:proofErr w:type="spellEnd"/>
      <w:r w:rsidRPr="007334C2">
        <w:t xml:space="preserve"> валюты «райские лепестки», а также оценить активность игроков при совершении </w:t>
      </w:r>
      <w:proofErr w:type="spellStart"/>
      <w:r w:rsidRPr="007334C2">
        <w:t>внутриигровых</w:t>
      </w:r>
      <w:proofErr w:type="spellEnd"/>
      <w:r w:rsidRPr="007334C2">
        <w:t xml:space="preserve"> покупок</w:t>
      </w:r>
    </w:p>
    <w:p w:rsidR="00A4638A" w:rsidRPr="007334C2" w:rsidRDefault="007334C2">
      <w:proofErr w:type="gramStart"/>
      <w:r w:rsidRPr="007334C2">
        <w:rPr>
          <w:b/>
        </w:rPr>
        <w:t xml:space="preserve">Автор: </w:t>
      </w:r>
      <w:r w:rsidRPr="007334C2">
        <w:t xml:space="preserve"> Сумарокова</w:t>
      </w:r>
      <w:proofErr w:type="gramEnd"/>
      <w:r w:rsidRPr="007334C2">
        <w:t xml:space="preserve"> Елизавета</w:t>
      </w:r>
    </w:p>
    <w:p w:rsidR="00A4638A" w:rsidRPr="007334C2" w:rsidRDefault="007334C2">
      <w:pPr>
        <w:rPr>
          <w:b/>
        </w:rPr>
      </w:pPr>
      <w:r w:rsidRPr="007334C2">
        <w:rPr>
          <w:b/>
        </w:rPr>
        <w:t>Дата: 06-01-2025</w:t>
      </w:r>
    </w:p>
    <w:p w:rsidR="00A4638A" w:rsidRPr="007334C2" w:rsidRDefault="007334C2">
      <w:pPr>
        <w:pStyle w:val="3"/>
        <w:rPr>
          <w:color w:val="auto"/>
        </w:rPr>
      </w:pPr>
      <w:bookmarkStart w:id="0" w:name="_vaza1re6x8bo" w:colFirst="0" w:colLast="0"/>
      <w:bookmarkStart w:id="1" w:name="_ckh1w4h1tu52" w:colFirst="0" w:colLast="0"/>
      <w:bookmarkEnd w:id="0"/>
      <w:bookmarkEnd w:id="1"/>
      <w:r w:rsidRPr="007334C2">
        <w:rPr>
          <w:color w:val="auto"/>
        </w:rPr>
        <w:t>1. Результаты ис</w:t>
      </w:r>
      <w:r w:rsidRPr="007334C2">
        <w:rPr>
          <w:color w:val="auto"/>
        </w:rPr>
        <w:t>следовательского анализа данных:</w:t>
      </w:r>
    </w:p>
    <w:p w:rsidR="00A4638A" w:rsidRPr="007334C2" w:rsidRDefault="007334C2">
      <w:pPr>
        <w:spacing w:before="240" w:after="240"/>
      </w:pPr>
      <w:bookmarkStart w:id="2" w:name="_atgqb93e8rwi" w:colFirst="0" w:colLast="0"/>
      <w:bookmarkEnd w:id="2"/>
      <w:r w:rsidRPr="007334C2">
        <w:t xml:space="preserve">Всего в игре на момент анализа зарегистрировано 22 214 игроков, среди которых 3 929 покупают </w:t>
      </w:r>
      <w:proofErr w:type="spellStart"/>
      <w:r w:rsidRPr="007334C2">
        <w:t>внутриигровую</w:t>
      </w:r>
      <w:proofErr w:type="spellEnd"/>
      <w:r w:rsidRPr="007334C2">
        <w:t xml:space="preserve"> валюту, что соответствует 18% от о</w:t>
      </w:r>
      <w:r w:rsidRPr="007334C2">
        <w:t>бщего числа пользователей.</w:t>
      </w:r>
    </w:p>
    <w:p w:rsidR="00A4638A" w:rsidRPr="007334C2" w:rsidRDefault="007334C2">
      <w:pPr>
        <w:spacing w:before="240" w:after="240"/>
      </w:pPr>
      <w:r w:rsidRPr="007334C2">
        <w:t>В разрезе расы персонажа нет сильно выделяющихся показателей, доля платящих пользователей варьируется от 17% (эльф, ангел) до 19% (демон).</w:t>
      </w:r>
    </w:p>
    <w:p w:rsidR="00A4638A" w:rsidRPr="007334C2" w:rsidRDefault="007334C2">
      <w:pPr>
        <w:spacing w:before="240" w:after="240"/>
      </w:pPr>
      <w:r w:rsidRPr="007334C2">
        <w:t xml:space="preserve">Подробнее с информацией о количестве игроков и доле платящих пользователей в разрезе расы </w:t>
      </w:r>
      <w:r w:rsidRPr="007334C2">
        <w:t>можно ознакомиться на диаграмме.</w:t>
      </w:r>
    </w:p>
    <w:p w:rsidR="00A4638A" w:rsidRPr="007334C2" w:rsidRDefault="007334C2">
      <w:pPr>
        <w:spacing w:before="240" w:after="240"/>
        <w:jc w:val="center"/>
      </w:pPr>
      <w:r w:rsidRPr="007334C2">
        <w:rPr>
          <w:noProof/>
        </w:rPr>
        <w:drawing>
          <wp:inline distT="114300" distB="114300" distL="114300" distR="114300" wp14:anchorId="09A82638" wp14:editId="12CEF854">
            <wp:extent cx="5049647" cy="3119438"/>
            <wp:effectExtent l="0" t="0" r="0" b="0"/>
            <wp:docPr id="3" name="image3.png" descr="Диаграмма"/>
            <wp:cNvGraphicFramePr/>
            <a:graphic xmlns:a="http://schemas.openxmlformats.org/drawingml/2006/main">
              <a:graphicData uri="http://schemas.openxmlformats.org/drawingml/2006/picture">
                <pic:pic xmlns:pic="http://schemas.openxmlformats.org/drawingml/2006/picture">
                  <pic:nvPicPr>
                    <pic:cNvPr id="0" name="image3.png" descr="Диаграмма"/>
                    <pic:cNvPicPr preferRelativeResize="0"/>
                  </pic:nvPicPr>
                  <pic:blipFill>
                    <a:blip r:embed="rId4"/>
                    <a:srcRect/>
                    <a:stretch>
                      <a:fillRect/>
                    </a:stretch>
                  </pic:blipFill>
                  <pic:spPr>
                    <a:xfrm>
                      <a:off x="0" y="0"/>
                      <a:ext cx="5049647" cy="3119438"/>
                    </a:xfrm>
                    <a:prstGeom prst="rect">
                      <a:avLst/>
                    </a:prstGeom>
                    <a:ln/>
                  </pic:spPr>
                </pic:pic>
              </a:graphicData>
            </a:graphic>
          </wp:inline>
        </w:drawing>
      </w:r>
    </w:p>
    <w:p w:rsidR="007334C2" w:rsidRPr="007334C2" w:rsidRDefault="007334C2">
      <w:bookmarkStart w:id="3" w:name="_av9jttpy915y" w:colFirst="0" w:colLast="0"/>
      <w:bookmarkEnd w:id="3"/>
      <w:r w:rsidRPr="007334C2">
        <w:br w:type="page"/>
      </w:r>
    </w:p>
    <w:p w:rsidR="00A4638A" w:rsidRPr="007334C2" w:rsidRDefault="007334C2">
      <w:pPr>
        <w:spacing w:before="240" w:after="240"/>
      </w:pPr>
      <w:r w:rsidRPr="007334C2">
        <w:lastRenderedPageBreak/>
        <w:t xml:space="preserve">Статистические показатели </w:t>
      </w:r>
      <w:proofErr w:type="spellStart"/>
      <w:r w:rsidRPr="007334C2">
        <w:t>внутриигровы</w:t>
      </w:r>
      <w:r w:rsidRPr="007334C2">
        <w:t>х</w:t>
      </w:r>
      <w:proofErr w:type="spellEnd"/>
      <w:r w:rsidRPr="007334C2">
        <w:t xml:space="preserve"> покупок представлены в таблице:</w:t>
      </w:r>
    </w:p>
    <w:tbl>
      <w:tblPr>
        <w:tblStyle w:val="a5"/>
        <w:tblW w:w="64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80"/>
        <w:gridCol w:w="2070"/>
      </w:tblGrid>
      <w:tr w:rsidR="007334C2" w:rsidRPr="007334C2">
        <w:trPr>
          <w:trHeight w:val="280"/>
        </w:trPr>
        <w:tc>
          <w:tcPr>
            <w:tcW w:w="4380" w:type="dxa"/>
            <w:tcBorders>
              <w:top w:val="single" w:sz="6" w:space="0" w:color="000000"/>
              <w:left w:val="single" w:sz="6" w:space="0" w:color="000000"/>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rPr>
                <w:sz w:val="20"/>
                <w:szCs w:val="20"/>
              </w:rPr>
            </w:pPr>
            <w:r w:rsidRPr="007334C2">
              <w:rPr>
                <w:b/>
              </w:rPr>
              <w:t>Кол-во покупок</w:t>
            </w:r>
          </w:p>
        </w:tc>
        <w:tc>
          <w:tcPr>
            <w:tcW w:w="20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sz w:val="20"/>
                <w:szCs w:val="20"/>
              </w:rPr>
              <w:t>1 307 678</w:t>
            </w:r>
          </w:p>
        </w:tc>
      </w:tr>
      <w:tr w:rsidR="007334C2" w:rsidRPr="007334C2">
        <w:trPr>
          <w:trHeight w:val="408"/>
        </w:trPr>
        <w:tc>
          <w:tcPr>
            <w:tcW w:w="4380" w:type="dxa"/>
            <w:tcBorders>
              <w:top w:val="single" w:sz="6" w:space="0" w:color="CCCCCC"/>
              <w:left w:val="single" w:sz="6" w:space="0" w:color="000000"/>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rPr>
                <w:sz w:val="20"/>
                <w:szCs w:val="20"/>
              </w:rPr>
            </w:pPr>
            <w:r w:rsidRPr="007334C2">
              <w:rPr>
                <w:b/>
              </w:rPr>
              <w:t>Суммарная стоимость покупок</w:t>
            </w:r>
          </w:p>
        </w:tc>
        <w:tc>
          <w:tcPr>
            <w:tcW w:w="20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sz w:val="20"/>
                <w:szCs w:val="20"/>
              </w:rPr>
              <w:t>686 615 040</w:t>
            </w:r>
          </w:p>
        </w:tc>
      </w:tr>
      <w:tr w:rsidR="007334C2" w:rsidRPr="007334C2">
        <w:trPr>
          <w:trHeight w:val="408"/>
        </w:trPr>
        <w:tc>
          <w:tcPr>
            <w:tcW w:w="4380" w:type="dxa"/>
            <w:tcBorders>
              <w:top w:val="single" w:sz="6" w:space="0" w:color="CCCCCC"/>
              <w:left w:val="single" w:sz="6" w:space="0" w:color="000000"/>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rPr>
                <w:sz w:val="20"/>
                <w:szCs w:val="20"/>
              </w:rPr>
            </w:pPr>
            <w:r w:rsidRPr="007334C2">
              <w:rPr>
                <w:b/>
              </w:rPr>
              <w:t>Мин стоимость одной покупки</w:t>
            </w:r>
          </w:p>
        </w:tc>
        <w:tc>
          <w:tcPr>
            <w:tcW w:w="20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sz w:val="20"/>
                <w:szCs w:val="20"/>
              </w:rPr>
              <w:t>0</w:t>
            </w:r>
          </w:p>
        </w:tc>
      </w:tr>
      <w:tr w:rsidR="007334C2" w:rsidRPr="007334C2">
        <w:trPr>
          <w:trHeight w:val="408"/>
        </w:trPr>
        <w:tc>
          <w:tcPr>
            <w:tcW w:w="4380" w:type="dxa"/>
            <w:tcBorders>
              <w:top w:val="single" w:sz="6" w:space="0" w:color="CCCCCC"/>
              <w:left w:val="single" w:sz="6" w:space="0" w:color="000000"/>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rPr>
                <w:sz w:val="20"/>
                <w:szCs w:val="20"/>
              </w:rPr>
            </w:pPr>
            <w:r w:rsidRPr="007334C2">
              <w:rPr>
                <w:b/>
              </w:rPr>
              <w:t>Макс стоимость одной покупки</w:t>
            </w:r>
          </w:p>
        </w:tc>
        <w:tc>
          <w:tcPr>
            <w:tcW w:w="20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sz w:val="20"/>
                <w:szCs w:val="20"/>
              </w:rPr>
              <w:t>486 615,10</w:t>
            </w:r>
          </w:p>
        </w:tc>
      </w:tr>
      <w:tr w:rsidR="007334C2" w:rsidRPr="007334C2">
        <w:trPr>
          <w:trHeight w:val="280"/>
        </w:trPr>
        <w:tc>
          <w:tcPr>
            <w:tcW w:w="4380" w:type="dxa"/>
            <w:tcBorders>
              <w:top w:val="single" w:sz="6" w:space="0" w:color="CCCCCC"/>
              <w:left w:val="single" w:sz="6" w:space="0" w:color="000000"/>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rPr>
                <w:sz w:val="20"/>
                <w:szCs w:val="20"/>
              </w:rPr>
            </w:pPr>
            <w:r w:rsidRPr="007334C2">
              <w:rPr>
                <w:b/>
              </w:rPr>
              <w:t>Средняя стоимость одной покупки</w:t>
            </w:r>
          </w:p>
        </w:tc>
        <w:tc>
          <w:tcPr>
            <w:tcW w:w="20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sz w:val="20"/>
                <w:szCs w:val="20"/>
              </w:rPr>
              <w:t>525,69</w:t>
            </w:r>
          </w:p>
        </w:tc>
      </w:tr>
      <w:tr w:rsidR="007334C2" w:rsidRPr="007334C2">
        <w:trPr>
          <w:trHeight w:val="225"/>
        </w:trPr>
        <w:tc>
          <w:tcPr>
            <w:tcW w:w="4380" w:type="dxa"/>
            <w:tcBorders>
              <w:top w:val="single" w:sz="6" w:space="0" w:color="CCCCCC"/>
              <w:left w:val="single" w:sz="6" w:space="0" w:color="000000"/>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rPr>
                <w:sz w:val="20"/>
                <w:szCs w:val="20"/>
              </w:rPr>
            </w:pPr>
            <w:r w:rsidRPr="007334C2">
              <w:rPr>
                <w:b/>
              </w:rPr>
              <w:t>Медианная стоимость одной покупки</w:t>
            </w:r>
          </w:p>
        </w:tc>
        <w:tc>
          <w:tcPr>
            <w:tcW w:w="20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sz w:val="20"/>
                <w:szCs w:val="20"/>
              </w:rPr>
              <w:t>74,86</w:t>
            </w:r>
          </w:p>
        </w:tc>
      </w:tr>
      <w:tr w:rsidR="007334C2" w:rsidRPr="007334C2">
        <w:trPr>
          <w:trHeight w:val="408"/>
        </w:trPr>
        <w:tc>
          <w:tcPr>
            <w:tcW w:w="4380" w:type="dxa"/>
            <w:tcBorders>
              <w:top w:val="single" w:sz="6" w:space="0" w:color="CCCCCC"/>
              <w:left w:val="single" w:sz="6" w:space="0" w:color="000000"/>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rPr>
                <w:sz w:val="20"/>
                <w:szCs w:val="20"/>
              </w:rPr>
            </w:pPr>
            <w:r w:rsidRPr="007334C2">
              <w:rPr>
                <w:b/>
              </w:rPr>
              <w:t>Стандартное отклонение</w:t>
            </w:r>
          </w:p>
        </w:tc>
        <w:tc>
          <w:tcPr>
            <w:tcW w:w="20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sz w:val="20"/>
                <w:szCs w:val="20"/>
              </w:rPr>
              <w:t>2 517,35</w:t>
            </w:r>
          </w:p>
        </w:tc>
      </w:tr>
    </w:tbl>
    <w:p w:rsidR="00A4638A" w:rsidRPr="007334C2" w:rsidRDefault="007334C2" w:rsidP="007334C2">
      <w:pPr>
        <w:spacing w:before="240" w:after="240"/>
      </w:pPr>
      <w:r w:rsidRPr="007334C2">
        <w:t>Медианная стоимость сильно ниже средней, что указывает на то, что покупок с ценой, близкой к максимальной, не очень много. В данном случае, говоря о средней стоимости одной покупки, корректнее было бы использовать значение именно медианной стоимости.</w:t>
      </w:r>
    </w:p>
    <w:p w:rsidR="007334C2" w:rsidRPr="007334C2" w:rsidRDefault="007334C2" w:rsidP="007334C2">
      <w:pPr>
        <w:spacing w:before="240" w:after="240"/>
        <w:rPr>
          <w:b/>
        </w:rPr>
      </w:pPr>
      <w:r w:rsidRPr="007334C2">
        <w:rPr>
          <w:b/>
        </w:rPr>
        <w:t>АНОМАЛЬНЫЕ ПОКУПКИ</w:t>
      </w:r>
    </w:p>
    <w:p w:rsidR="00A4638A" w:rsidRPr="007334C2" w:rsidRDefault="007334C2">
      <w:pPr>
        <w:spacing w:before="240" w:after="240"/>
      </w:pPr>
      <w:r w:rsidRPr="007334C2">
        <w:t>С</w:t>
      </w:r>
      <w:r w:rsidRPr="007334C2">
        <w:t xml:space="preserve">реди всех покупок есть 907 транзакций с нулевой стоимостью. Доля таких покупок от общего числа составляет всего 0,07%. Все покупки с нулевой стоимостью приходятся на предмет </w:t>
      </w:r>
      <w:proofErr w:type="spellStart"/>
      <w:r w:rsidRPr="007334C2">
        <w:rPr>
          <w:sz w:val="20"/>
          <w:szCs w:val="20"/>
        </w:rPr>
        <w:t>Book</w:t>
      </w:r>
      <w:proofErr w:type="spellEnd"/>
      <w:r w:rsidRPr="007334C2">
        <w:rPr>
          <w:sz w:val="20"/>
          <w:szCs w:val="20"/>
        </w:rPr>
        <w:t xml:space="preserve"> </w:t>
      </w:r>
      <w:proofErr w:type="spellStart"/>
      <w:r w:rsidRPr="007334C2">
        <w:rPr>
          <w:sz w:val="20"/>
          <w:szCs w:val="20"/>
        </w:rPr>
        <w:t>of</w:t>
      </w:r>
      <w:proofErr w:type="spellEnd"/>
      <w:r w:rsidRPr="007334C2">
        <w:rPr>
          <w:sz w:val="20"/>
          <w:szCs w:val="20"/>
        </w:rPr>
        <w:t xml:space="preserve"> </w:t>
      </w:r>
      <w:proofErr w:type="spellStart"/>
      <w:r w:rsidRPr="007334C2">
        <w:rPr>
          <w:sz w:val="20"/>
          <w:szCs w:val="20"/>
        </w:rPr>
        <w:t>Legend</w:t>
      </w:r>
      <w:r w:rsidRPr="007334C2">
        <w:rPr>
          <w:sz w:val="20"/>
          <w:szCs w:val="20"/>
        </w:rPr>
        <w:t>s</w:t>
      </w:r>
      <w:proofErr w:type="spellEnd"/>
      <w:r w:rsidRPr="007334C2">
        <w:rPr>
          <w:sz w:val="20"/>
          <w:szCs w:val="20"/>
        </w:rPr>
        <w:t xml:space="preserve">, </w:t>
      </w:r>
      <w:r w:rsidRPr="007334C2">
        <w:t>совершены они были 72 игроками, причем только 1 из них больше никаких покупок не совершали.</w:t>
      </w:r>
    </w:p>
    <w:p w:rsidR="00A4638A" w:rsidRPr="007334C2" w:rsidRDefault="007334C2">
      <w:pPr>
        <w:spacing w:before="240" w:after="240"/>
      </w:pPr>
      <w:r w:rsidRPr="007334C2">
        <w:t xml:space="preserve">В 849 таких транзакций не зафиксировано продавца: возможно, это была </w:t>
      </w:r>
      <w:proofErr w:type="spellStart"/>
      <w:r w:rsidRPr="007334C2">
        <w:t>внутриигровая</w:t>
      </w:r>
      <w:proofErr w:type="spellEnd"/>
      <w:r w:rsidRPr="007334C2">
        <w:t xml:space="preserve"> раздача подарков за выполнение каких-либо заданий?</w:t>
      </w:r>
    </w:p>
    <w:p w:rsidR="007334C2" w:rsidRPr="007334C2" w:rsidRDefault="007334C2" w:rsidP="007334C2">
      <w:pPr>
        <w:spacing w:before="240" w:after="240"/>
        <w:rPr>
          <w:sz w:val="24"/>
          <w:szCs w:val="24"/>
        </w:rPr>
      </w:pPr>
      <w:r w:rsidRPr="007334C2">
        <w:t xml:space="preserve">Топ-10 самых дорогих покупок также приходится на </w:t>
      </w:r>
      <w:proofErr w:type="spellStart"/>
      <w:r w:rsidRPr="007334C2">
        <w:rPr>
          <w:sz w:val="20"/>
          <w:szCs w:val="20"/>
        </w:rPr>
        <w:t>Book</w:t>
      </w:r>
      <w:proofErr w:type="spellEnd"/>
      <w:r w:rsidRPr="007334C2">
        <w:rPr>
          <w:sz w:val="20"/>
          <w:szCs w:val="20"/>
        </w:rPr>
        <w:t xml:space="preserve"> </w:t>
      </w:r>
      <w:proofErr w:type="spellStart"/>
      <w:r w:rsidRPr="007334C2">
        <w:rPr>
          <w:sz w:val="20"/>
          <w:szCs w:val="20"/>
        </w:rPr>
        <w:t>of</w:t>
      </w:r>
      <w:proofErr w:type="spellEnd"/>
      <w:r w:rsidRPr="007334C2">
        <w:rPr>
          <w:sz w:val="20"/>
          <w:szCs w:val="20"/>
        </w:rPr>
        <w:t xml:space="preserve"> </w:t>
      </w:r>
      <w:proofErr w:type="spellStart"/>
      <w:r w:rsidRPr="007334C2">
        <w:rPr>
          <w:sz w:val="20"/>
          <w:szCs w:val="20"/>
        </w:rPr>
        <w:t>Legends</w:t>
      </w:r>
      <w:proofErr w:type="spellEnd"/>
      <w:r w:rsidRPr="007334C2">
        <w:rPr>
          <w:sz w:val="20"/>
          <w:szCs w:val="20"/>
        </w:rPr>
        <w:t xml:space="preserve">. </w:t>
      </w:r>
      <w:r w:rsidRPr="007334C2">
        <w:t xml:space="preserve">В целом статистические показатели цены этого предмета схожи с общей статистикой </w:t>
      </w:r>
      <w:proofErr w:type="spellStart"/>
      <w:r w:rsidRPr="007334C2">
        <w:t>внутриигровых</w:t>
      </w:r>
      <w:proofErr w:type="spellEnd"/>
      <w:r w:rsidRPr="007334C2">
        <w:t xml:space="preserve"> покупок. Интересно было бы изучить, с чем связан такой ажиотаж вокруг данного предмета и такие ш</w:t>
      </w:r>
      <w:r w:rsidRPr="007334C2">
        <w:t>ирокие колебания его цены.</w:t>
      </w:r>
    </w:p>
    <w:p w:rsidR="00A4638A" w:rsidRPr="007334C2" w:rsidRDefault="007334C2" w:rsidP="007334C2">
      <w:pPr>
        <w:spacing w:before="240" w:after="240"/>
        <w:rPr>
          <w:b/>
        </w:rPr>
      </w:pPr>
      <w:r w:rsidRPr="007334C2">
        <w:rPr>
          <w:b/>
        </w:rPr>
        <w:t>СРАВНЕНИЕ ПОВЕДЕНИ</w:t>
      </w:r>
      <w:r>
        <w:rPr>
          <w:b/>
        </w:rPr>
        <w:t>Я</w:t>
      </w:r>
      <w:r w:rsidRPr="007334C2">
        <w:rPr>
          <w:b/>
        </w:rPr>
        <w:t xml:space="preserve"> ПЛАТЯЩИХ И НЕПЛАТЯЩИХ ИГРОКОВ.</w:t>
      </w:r>
    </w:p>
    <w:p w:rsidR="00A4638A" w:rsidRPr="007334C2" w:rsidRDefault="007334C2">
      <w:pPr>
        <w:spacing w:before="240" w:after="240"/>
      </w:pPr>
      <w:proofErr w:type="spellStart"/>
      <w:r w:rsidRPr="007334C2">
        <w:t>В</w:t>
      </w:r>
      <w:r w:rsidRPr="007334C2">
        <w:t>нутриигровые</w:t>
      </w:r>
      <w:proofErr w:type="spellEnd"/>
      <w:r w:rsidRPr="007334C2">
        <w:t xml:space="preserve"> покупки совершают 13 792 игрока, причем 11 348 из них не являются платящими. В среднем, </w:t>
      </w:r>
      <w:proofErr w:type="spellStart"/>
      <w:r w:rsidRPr="007334C2">
        <w:t>неп</w:t>
      </w:r>
      <w:r w:rsidRPr="007334C2">
        <w:t>латящие</w:t>
      </w:r>
      <w:proofErr w:type="spellEnd"/>
      <w:r w:rsidRPr="007334C2">
        <w:t xml:space="preserve"> игроки совершили по 98 покупок, а платящие по 82. Хоть платящих игроков </w:t>
      </w:r>
      <w:proofErr w:type="gramStart"/>
      <w:r w:rsidRPr="007334C2">
        <w:t>меньше</w:t>
      </w:r>
      <w:proofErr w:type="gramEnd"/>
      <w:r w:rsidRPr="007334C2">
        <w:t xml:space="preserve"> и они совершают меньшее количество покупок, каждая их покупка примерно на 14% дороже, чем у </w:t>
      </w:r>
      <w:proofErr w:type="spellStart"/>
      <w:r w:rsidRPr="007334C2">
        <w:t>неплатящих</w:t>
      </w:r>
      <w:proofErr w:type="spellEnd"/>
      <w:r w:rsidRPr="007334C2">
        <w:t xml:space="preserve"> игроков. Подробнее можно пользовательской активностью можно ознако</w:t>
      </w:r>
      <w:r w:rsidRPr="007334C2">
        <w:t>миться в таблице</w:t>
      </w:r>
    </w:p>
    <w:tbl>
      <w:tblPr>
        <w:tblStyle w:val="a6"/>
        <w:tblW w:w="77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2370"/>
        <w:gridCol w:w="2340"/>
      </w:tblGrid>
      <w:tr w:rsidR="007334C2" w:rsidRPr="007334C2">
        <w:trPr>
          <w:trHeight w:val="615"/>
        </w:trPr>
        <w:tc>
          <w:tcPr>
            <w:tcW w:w="1500" w:type="dxa"/>
            <w:tcBorders>
              <w:top w:val="single" w:sz="6" w:space="0" w:color="000000"/>
              <w:left w:val="single" w:sz="6" w:space="0" w:color="000000"/>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b/>
              </w:rPr>
              <w:t>Категория</w:t>
            </w:r>
          </w:p>
        </w:tc>
        <w:tc>
          <w:tcPr>
            <w:tcW w:w="1500" w:type="dxa"/>
            <w:tcBorders>
              <w:top w:val="single" w:sz="6" w:space="0" w:color="000000"/>
              <w:left w:val="single" w:sz="6" w:space="0" w:color="CCCCCC"/>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b/>
              </w:rPr>
              <w:t>Количество игроков</w:t>
            </w:r>
          </w:p>
        </w:tc>
        <w:tc>
          <w:tcPr>
            <w:tcW w:w="2370" w:type="dxa"/>
            <w:tcBorders>
              <w:top w:val="single" w:sz="6" w:space="0" w:color="000000"/>
              <w:left w:val="single" w:sz="6" w:space="0" w:color="CCCCCC"/>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b/>
              </w:rPr>
              <w:t>Среднее количество покупок на игрока</w:t>
            </w:r>
          </w:p>
        </w:tc>
        <w:tc>
          <w:tcPr>
            <w:tcW w:w="2340" w:type="dxa"/>
            <w:tcBorders>
              <w:top w:val="single" w:sz="6" w:space="0" w:color="000000"/>
              <w:left w:val="single" w:sz="6" w:space="0" w:color="CCCCCC"/>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b/>
              </w:rPr>
              <w:t>Средняя стоимость покупок на игрока</w:t>
            </w:r>
          </w:p>
        </w:tc>
      </w:tr>
      <w:tr w:rsidR="007334C2" w:rsidRPr="007334C2">
        <w:trPr>
          <w:trHeight w:val="315"/>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rPr>
                <w:sz w:val="20"/>
                <w:szCs w:val="20"/>
              </w:rPr>
            </w:pPr>
            <w:proofErr w:type="spellStart"/>
            <w:r w:rsidRPr="007334C2">
              <w:rPr>
                <w:sz w:val="20"/>
                <w:szCs w:val="20"/>
              </w:rPr>
              <w:t>Неплатящие</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11348</w:t>
            </w:r>
          </w:p>
        </w:tc>
        <w:tc>
          <w:tcPr>
            <w:tcW w:w="23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97,56</w:t>
            </w:r>
          </w:p>
        </w:tc>
        <w:tc>
          <w:tcPr>
            <w:tcW w:w="23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48 631,74</w:t>
            </w:r>
          </w:p>
        </w:tc>
      </w:tr>
      <w:tr w:rsidR="007334C2" w:rsidRPr="007334C2">
        <w:trPr>
          <w:trHeight w:val="315"/>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rPr>
                <w:sz w:val="20"/>
                <w:szCs w:val="20"/>
              </w:rPr>
            </w:pPr>
            <w:r w:rsidRPr="007334C2">
              <w:rPr>
                <w:sz w:val="20"/>
                <w:szCs w:val="20"/>
              </w:rPr>
              <w:t>Платящие</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2444</w:t>
            </w:r>
          </w:p>
        </w:tc>
        <w:tc>
          <w:tcPr>
            <w:tcW w:w="23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81,68</w:t>
            </w:r>
          </w:p>
        </w:tc>
        <w:tc>
          <w:tcPr>
            <w:tcW w:w="23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55 467,74</w:t>
            </w:r>
          </w:p>
        </w:tc>
      </w:tr>
    </w:tbl>
    <w:p w:rsidR="00A4638A" w:rsidRPr="007334C2" w:rsidRDefault="00A4638A">
      <w:pPr>
        <w:spacing w:before="240" w:after="240"/>
      </w:pPr>
    </w:p>
    <w:p w:rsidR="00A4638A" w:rsidRPr="007334C2" w:rsidRDefault="007334C2">
      <w:pPr>
        <w:pStyle w:val="4"/>
        <w:rPr>
          <w:b/>
          <w:color w:val="auto"/>
        </w:rPr>
      </w:pPr>
      <w:bookmarkStart w:id="4" w:name="_spjk6khevj6g" w:colFirst="0" w:colLast="0"/>
      <w:bookmarkEnd w:id="4"/>
      <w:r w:rsidRPr="007334C2">
        <w:rPr>
          <w:b/>
          <w:color w:val="auto"/>
        </w:rPr>
        <w:lastRenderedPageBreak/>
        <w:t>1.5. ПОПУЛЯРНЫЕ ПОКУПКИ</w:t>
      </w:r>
    </w:p>
    <w:p w:rsidR="00A4638A" w:rsidRPr="007334C2" w:rsidRDefault="007334C2">
      <w:pPr>
        <w:pStyle w:val="4"/>
        <w:rPr>
          <w:color w:val="auto"/>
        </w:rPr>
      </w:pPr>
      <w:bookmarkStart w:id="5" w:name="_uadq0v1a9od9" w:colFirst="0" w:colLast="0"/>
      <w:bookmarkEnd w:id="5"/>
      <w:r w:rsidRPr="007334C2">
        <w:rPr>
          <w:color w:val="auto"/>
        </w:rPr>
        <w:t>Среди</w:t>
      </w:r>
      <w:r w:rsidRPr="007334C2">
        <w:rPr>
          <w:color w:val="auto"/>
          <w:lang w:val="en-US"/>
        </w:rPr>
        <w:t xml:space="preserve"> </w:t>
      </w:r>
      <w:r w:rsidRPr="007334C2">
        <w:rPr>
          <w:color w:val="auto"/>
        </w:rPr>
        <w:t>эпических</w:t>
      </w:r>
      <w:r w:rsidRPr="007334C2">
        <w:rPr>
          <w:color w:val="auto"/>
          <w:lang w:val="en-US"/>
        </w:rPr>
        <w:t xml:space="preserve"> </w:t>
      </w:r>
      <w:r w:rsidRPr="007334C2">
        <w:rPr>
          <w:color w:val="auto"/>
        </w:rPr>
        <w:t>предметов</w:t>
      </w:r>
      <w:r w:rsidRPr="007334C2">
        <w:rPr>
          <w:color w:val="auto"/>
          <w:lang w:val="en-US"/>
        </w:rPr>
        <w:t xml:space="preserve"> </w:t>
      </w:r>
      <w:r w:rsidRPr="007334C2">
        <w:rPr>
          <w:color w:val="auto"/>
        </w:rPr>
        <w:t>есть</w:t>
      </w:r>
      <w:r w:rsidRPr="007334C2">
        <w:rPr>
          <w:color w:val="auto"/>
          <w:lang w:val="en-US"/>
        </w:rPr>
        <w:t xml:space="preserve"> </w:t>
      </w:r>
      <w:r w:rsidRPr="007334C2">
        <w:rPr>
          <w:color w:val="auto"/>
        </w:rPr>
        <w:t>пять</w:t>
      </w:r>
      <w:r w:rsidRPr="007334C2">
        <w:rPr>
          <w:color w:val="auto"/>
          <w:lang w:val="en-US"/>
        </w:rPr>
        <w:t xml:space="preserve"> </w:t>
      </w:r>
      <w:r w:rsidRPr="007334C2">
        <w:rPr>
          <w:color w:val="auto"/>
        </w:rPr>
        <w:t>лидеров</w:t>
      </w:r>
      <w:r w:rsidRPr="007334C2">
        <w:rPr>
          <w:color w:val="auto"/>
          <w:lang w:val="en-US"/>
        </w:rPr>
        <w:t xml:space="preserve">, </w:t>
      </w:r>
      <w:r w:rsidRPr="007334C2">
        <w:rPr>
          <w:color w:val="auto"/>
        </w:rPr>
        <w:t>это</w:t>
      </w:r>
      <w:r w:rsidRPr="007334C2">
        <w:rPr>
          <w:color w:val="auto"/>
          <w:lang w:val="en-US"/>
        </w:rPr>
        <w:t xml:space="preserve">: Book of Legends, Bag of Holding, Necklace of Wisdom, Gems of Insight, Treasure Map. </w:t>
      </w:r>
      <w:r w:rsidRPr="007334C2">
        <w:rPr>
          <w:color w:val="auto"/>
        </w:rPr>
        <w:t>Первые два предмета из списка хоть раз пр</w:t>
      </w:r>
      <w:r w:rsidRPr="007334C2">
        <w:rPr>
          <w:color w:val="auto"/>
        </w:rPr>
        <w:t>иобрело более 85% покупателей. Подробнее ознакомиться с топ-5 эпических предметов можно в таблице:</w:t>
      </w:r>
    </w:p>
    <w:p w:rsidR="00A4638A" w:rsidRPr="007334C2" w:rsidRDefault="00A4638A"/>
    <w:tbl>
      <w:tblPr>
        <w:tblStyle w:val="a7"/>
        <w:tblW w:w="76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20"/>
        <w:gridCol w:w="1500"/>
        <w:gridCol w:w="1005"/>
        <w:gridCol w:w="1590"/>
        <w:gridCol w:w="1590"/>
      </w:tblGrid>
      <w:tr w:rsidR="007334C2" w:rsidRPr="007334C2">
        <w:trPr>
          <w:trHeight w:val="615"/>
        </w:trPr>
        <w:tc>
          <w:tcPr>
            <w:tcW w:w="1920" w:type="dxa"/>
            <w:tcBorders>
              <w:top w:val="single" w:sz="6" w:space="0" w:color="000000"/>
              <w:left w:val="single" w:sz="6" w:space="0" w:color="000000"/>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b/>
              </w:rPr>
              <w:t>Название</w:t>
            </w:r>
          </w:p>
        </w:tc>
        <w:tc>
          <w:tcPr>
            <w:tcW w:w="1500" w:type="dxa"/>
            <w:tcBorders>
              <w:top w:val="single" w:sz="6" w:space="0" w:color="000000"/>
              <w:left w:val="single" w:sz="6" w:space="0" w:color="CCCCCC"/>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b/>
              </w:rPr>
              <w:t>Кол-во покупок</w:t>
            </w:r>
          </w:p>
        </w:tc>
        <w:tc>
          <w:tcPr>
            <w:tcW w:w="1005" w:type="dxa"/>
            <w:tcBorders>
              <w:top w:val="single" w:sz="6" w:space="0" w:color="000000"/>
              <w:left w:val="single" w:sz="6" w:space="0" w:color="CCCCCC"/>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b/>
              </w:rPr>
              <w:t>Доля покупок</w:t>
            </w:r>
          </w:p>
        </w:tc>
        <w:tc>
          <w:tcPr>
            <w:tcW w:w="1590" w:type="dxa"/>
            <w:tcBorders>
              <w:top w:val="single" w:sz="6" w:space="0" w:color="000000"/>
              <w:left w:val="single" w:sz="6" w:space="0" w:color="CCCCCC"/>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b/>
              </w:rPr>
              <w:t>Кол-во покупателей</w:t>
            </w:r>
          </w:p>
        </w:tc>
        <w:tc>
          <w:tcPr>
            <w:tcW w:w="1590" w:type="dxa"/>
            <w:tcBorders>
              <w:top w:val="single" w:sz="6" w:space="0" w:color="000000"/>
              <w:left w:val="single" w:sz="6" w:space="0" w:color="CCCCCC"/>
              <w:bottom w:val="single" w:sz="6" w:space="0" w:color="000000"/>
              <w:right w:val="single" w:sz="6" w:space="0" w:color="000000"/>
            </w:tcBorders>
            <w:shd w:val="clear" w:color="auto" w:fill="8EA9DB"/>
            <w:tcMar>
              <w:top w:w="40" w:type="dxa"/>
              <w:left w:w="40" w:type="dxa"/>
              <w:bottom w:w="40" w:type="dxa"/>
              <w:right w:w="40" w:type="dxa"/>
            </w:tcMar>
            <w:vAlign w:val="center"/>
          </w:tcPr>
          <w:p w:rsidR="00A4638A" w:rsidRPr="007334C2" w:rsidRDefault="007334C2">
            <w:pPr>
              <w:widowControl w:val="0"/>
              <w:jc w:val="center"/>
              <w:rPr>
                <w:sz w:val="20"/>
                <w:szCs w:val="20"/>
              </w:rPr>
            </w:pPr>
            <w:r w:rsidRPr="007334C2">
              <w:rPr>
                <w:b/>
              </w:rPr>
              <w:t>Доля покупателей</w:t>
            </w:r>
          </w:p>
        </w:tc>
      </w:tr>
      <w:tr w:rsidR="007334C2" w:rsidRPr="007334C2">
        <w:trPr>
          <w:trHeight w:val="315"/>
        </w:trPr>
        <w:tc>
          <w:tcPr>
            <w:tcW w:w="19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rPr>
                <w:sz w:val="20"/>
                <w:szCs w:val="20"/>
              </w:rPr>
            </w:pPr>
            <w:proofErr w:type="spellStart"/>
            <w:r w:rsidRPr="007334C2">
              <w:rPr>
                <w:sz w:val="20"/>
                <w:szCs w:val="20"/>
              </w:rPr>
              <w:t>Book</w:t>
            </w:r>
            <w:proofErr w:type="spellEnd"/>
            <w:r w:rsidRPr="007334C2">
              <w:rPr>
                <w:sz w:val="20"/>
                <w:szCs w:val="20"/>
              </w:rPr>
              <w:t xml:space="preserve"> </w:t>
            </w:r>
            <w:proofErr w:type="spellStart"/>
            <w:r w:rsidRPr="007334C2">
              <w:rPr>
                <w:sz w:val="20"/>
                <w:szCs w:val="20"/>
              </w:rPr>
              <w:t>of</w:t>
            </w:r>
            <w:proofErr w:type="spellEnd"/>
            <w:r w:rsidRPr="007334C2">
              <w:rPr>
                <w:sz w:val="20"/>
                <w:szCs w:val="20"/>
              </w:rPr>
              <w:t xml:space="preserve"> </w:t>
            </w:r>
            <w:proofErr w:type="spellStart"/>
            <w:r w:rsidRPr="007334C2">
              <w:rPr>
                <w:sz w:val="20"/>
                <w:szCs w:val="20"/>
              </w:rPr>
              <w:t>Legends</w:t>
            </w:r>
            <w:proofErr w:type="spellEnd"/>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1 004 516</w:t>
            </w:r>
          </w:p>
        </w:tc>
        <w:tc>
          <w:tcPr>
            <w:tcW w:w="10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0,7687</w:t>
            </w:r>
          </w:p>
        </w:tc>
        <w:tc>
          <w:tcPr>
            <w:tcW w:w="159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12 194</w:t>
            </w:r>
          </w:p>
        </w:tc>
        <w:tc>
          <w:tcPr>
            <w:tcW w:w="159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0,8841</w:t>
            </w:r>
          </w:p>
        </w:tc>
      </w:tr>
      <w:tr w:rsidR="007334C2" w:rsidRPr="007334C2">
        <w:trPr>
          <w:trHeight w:val="315"/>
        </w:trPr>
        <w:tc>
          <w:tcPr>
            <w:tcW w:w="19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rPr>
                <w:sz w:val="20"/>
                <w:szCs w:val="20"/>
              </w:rPr>
            </w:pPr>
            <w:proofErr w:type="spellStart"/>
            <w:r w:rsidRPr="007334C2">
              <w:rPr>
                <w:sz w:val="20"/>
                <w:szCs w:val="20"/>
              </w:rPr>
              <w:t>Bag</w:t>
            </w:r>
            <w:proofErr w:type="spellEnd"/>
            <w:r w:rsidRPr="007334C2">
              <w:rPr>
                <w:sz w:val="20"/>
                <w:szCs w:val="20"/>
              </w:rPr>
              <w:t xml:space="preserve"> </w:t>
            </w:r>
            <w:proofErr w:type="spellStart"/>
            <w:r w:rsidRPr="007334C2">
              <w:rPr>
                <w:sz w:val="20"/>
                <w:szCs w:val="20"/>
              </w:rPr>
              <w:t>of</w:t>
            </w:r>
            <w:proofErr w:type="spellEnd"/>
            <w:r w:rsidRPr="007334C2">
              <w:rPr>
                <w:sz w:val="20"/>
                <w:szCs w:val="20"/>
              </w:rPr>
              <w:t xml:space="preserve"> </w:t>
            </w:r>
            <w:proofErr w:type="spellStart"/>
            <w:r w:rsidRPr="007334C2">
              <w:rPr>
                <w:sz w:val="20"/>
                <w:szCs w:val="20"/>
              </w:rPr>
              <w:t>Holding</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271 875</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0,2081</w:t>
            </w:r>
          </w:p>
        </w:tc>
        <w:tc>
          <w:tcPr>
            <w:tcW w:w="15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11 968</w:t>
            </w:r>
          </w:p>
        </w:tc>
        <w:tc>
          <w:tcPr>
            <w:tcW w:w="15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0,8677</w:t>
            </w:r>
          </w:p>
        </w:tc>
      </w:tr>
      <w:tr w:rsidR="007334C2" w:rsidRPr="007334C2">
        <w:trPr>
          <w:trHeight w:val="300"/>
        </w:trPr>
        <w:tc>
          <w:tcPr>
            <w:tcW w:w="19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rPr>
                <w:sz w:val="20"/>
                <w:szCs w:val="20"/>
              </w:rPr>
            </w:pPr>
            <w:proofErr w:type="spellStart"/>
            <w:r w:rsidRPr="007334C2">
              <w:rPr>
                <w:sz w:val="20"/>
                <w:szCs w:val="20"/>
              </w:rPr>
              <w:t>Necklace</w:t>
            </w:r>
            <w:proofErr w:type="spellEnd"/>
            <w:r w:rsidRPr="007334C2">
              <w:rPr>
                <w:sz w:val="20"/>
                <w:szCs w:val="20"/>
              </w:rPr>
              <w:t xml:space="preserve"> </w:t>
            </w:r>
            <w:proofErr w:type="spellStart"/>
            <w:r w:rsidRPr="007334C2">
              <w:rPr>
                <w:sz w:val="20"/>
                <w:szCs w:val="20"/>
              </w:rPr>
              <w:t>of</w:t>
            </w:r>
            <w:proofErr w:type="spellEnd"/>
            <w:r w:rsidRPr="007334C2">
              <w:rPr>
                <w:sz w:val="20"/>
                <w:szCs w:val="20"/>
              </w:rPr>
              <w:t xml:space="preserve"> </w:t>
            </w:r>
            <w:proofErr w:type="spellStart"/>
            <w:r w:rsidRPr="007334C2">
              <w:rPr>
                <w:sz w:val="20"/>
                <w:szCs w:val="20"/>
              </w:rPr>
              <w:t>Wisdom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13 828</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0,0106</w:t>
            </w:r>
          </w:p>
        </w:tc>
        <w:tc>
          <w:tcPr>
            <w:tcW w:w="15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1 627</w:t>
            </w:r>
          </w:p>
        </w:tc>
        <w:tc>
          <w:tcPr>
            <w:tcW w:w="15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0,1180</w:t>
            </w:r>
          </w:p>
        </w:tc>
      </w:tr>
      <w:tr w:rsidR="007334C2" w:rsidRPr="007334C2">
        <w:trPr>
          <w:trHeight w:val="315"/>
        </w:trPr>
        <w:tc>
          <w:tcPr>
            <w:tcW w:w="19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rPr>
                <w:sz w:val="20"/>
                <w:szCs w:val="20"/>
              </w:rPr>
            </w:pPr>
            <w:proofErr w:type="spellStart"/>
            <w:r w:rsidRPr="007334C2">
              <w:rPr>
                <w:sz w:val="20"/>
                <w:szCs w:val="20"/>
              </w:rPr>
              <w:t>Gems</w:t>
            </w:r>
            <w:proofErr w:type="spellEnd"/>
            <w:r w:rsidRPr="007334C2">
              <w:rPr>
                <w:sz w:val="20"/>
                <w:szCs w:val="20"/>
              </w:rPr>
              <w:t xml:space="preserve"> </w:t>
            </w:r>
            <w:proofErr w:type="spellStart"/>
            <w:r w:rsidRPr="007334C2">
              <w:rPr>
                <w:sz w:val="20"/>
                <w:szCs w:val="20"/>
              </w:rPr>
              <w:t>of</w:t>
            </w:r>
            <w:proofErr w:type="spellEnd"/>
            <w:r w:rsidRPr="007334C2">
              <w:rPr>
                <w:sz w:val="20"/>
                <w:szCs w:val="20"/>
              </w:rPr>
              <w:t xml:space="preserve"> </w:t>
            </w:r>
            <w:proofErr w:type="spellStart"/>
            <w:r w:rsidRPr="007334C2">
              <w:rPr>
                <w:sz w:val="20"/>
                <w:szCs w:val="20"/>
              </w:rPr>
              <w:t>Insight</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3 833</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0,0029</w:t>
            </w:r>
          </w:p>
        </w:tc>
        <w:tc>
          <w:tcPr>
            <w:tcW w:w="15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926</w:t>
            </w:r>
          </w:p>
        </w:tc>
        <w:tc>
          <w:tcPr>
            <w:tcW w:w="15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0,0671</w:t>
            </w:r>
          </w:p>
        </w:tc>
      </w:tr>
      <w:tr w:rsidR="007334C2" w:rsidRPr="007334C2">
        <w:trPr>
          <w:trHeight w:val="315"/>
        </w:trPr>
        <w:tc>
          <w:tcPr>
            <w:tcW w:w="19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rPr>
                <w:sz w:val="20"/>
                <w:szCs w:val="20"/>
              </w:rPr>
            </w:pPr>
            <w:proofErr w:type="spellStart"/>
            <w:r w:rsidRPr="007334C2">
              <w:rPr>
                <w:sz w:val="20"/>
                <w:szCs w:val="20"/>
              </w:rPr>
              <w:t>Treasure</w:t>
            </w:r>
            <w:proofErr w:type="spellEnd"/>
            <w:r w:rsidRPr="007334C2">
              <w:rPr>
                <w:sz w:val="20"/>
                <w:szCs w:val="20"/>
              </w:rPr>
              <w:t xml:space="preserve"> </w:t>
            </w:r>
            <w:proofErr w:type="spellStart"/>
            <w:r w:rsidRPr="007334C2">
              <w:rPr>
                <w:sz w:val="20"/>
                <w:szCs w:val="20"/>
              </w:rPr>
              <w:t>Map</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3 084</w:t>
            </w:r>
          </w:p>
        </w:tc>
        <w:tc>
          <w:tcPr>
            <w:tcW w:w="10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0,0024</w:t>
            </w:r>
          </w:p>
        </w:tc>
        <w:tc>
          <w:tcPr>
            <w:tcW w:w="15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753</w:t>
            </w:r>
          </w:p>
        </w:tc>
        <w:tc>
          <w:tcPr>
            <w:tcW w:w="15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4638A" w:rsidRPr="007334C2" w:rsidRDefault="007334C2">
            <w:pPr>
              <w:widowControl w:val="0"/>
              <w:jc w:val="right"/>
              <w:rPr>
                <w:sz w:val="20"/>
                <w:szCs w:val="20"/>
              </w:rPr>
            </w:pPr>
            <w:r w:rsidRPr="007334C2">
              <w:rPr>
                <w:sz w:val="20"/>
                <w:szCs w:val="20"/>
              </w:rPr>
              <w:t>0,0546</w:t>
            </w:r>
          </w:p>
        </w:tc>
      </w:tr>
    </w:tbl>
    <w:p w:rsidR="00A4638A" w:rsidRPr="007334C2" w:rsidRDefault="00A4638A"/>
    <w:p w:rsidR="00A4638A" w:rsidRPr="007334C2" w:rsidRDefault="007334C2">
      <w:pPr>
        <w:pStyle w:val="3"/>
        <w:spacing w:before="240" w:after="240"/>
        <w:rPr>
          <w:color w:val="auto"/>
        </w:rPr>
      </w:pPr>
      <w:bookmarkStart w:id="6" w:name="_z143u5np220b" w:colFirst="0" w:colLast="0"/>
      <w:bookmarkEnd w:id="6"/>
      <w:r w:rsidRPr="007334C2">
        <w:rPr>
          <w:color w:val="auto"/>
        </w:rPr>
        <w:t>2</w:t>
      </w:r>
      <w:r w:rsidRPr="007334C2">
        <w:rPr>
          <w:color w:val="auto"/>
        </w:rPr>
        <w:t xml:space="preserve">. Результаты решения </w:t>
      </w:r>
      <w:proofErr w:type="spellStart"/>
      <w:r w:rsidRPr="007334C2">
        <w:rPr>
          <w:color w:val="auto"/>
        </w:rPr>
        <w:t>ad</w:t>
      </w:r>
      <w:proofErr w:type="spellEnd"/>
      <w:r w:rsidRPr="007334C2">
        <w:rPr>
          <w:color w:val="auto"/>
        </w:rPr>
        <w:t xml:space="preserve"> </w:t>
      </w:r>
      <w:proofErr w:type="spellStart"/>
      <w:r w:rsidRPr="007334C2">
        <w:rPr>
          <w:color w:val="auto"/>
        </w:rPr>
        <w:t>hoc</w:t>
      </w:r>
      <w:proofErr w:type="spellEnd"/>
      <w:r w:rsidRPr="007334C2">
        <w:rPr>
          <w:color w:val="auto"/>
        </w:rPr>
        <w:t xml:space="preserve"> задач</w:t>
      </w:r>
    </w:p>
    <w:p w:rsidR="00A4638A" w:rsidRPr="007334C2" w:rsidRDefault="007334C2">
      <w:pPr>
        <w:spacing w:before="240" w:after="240"/>
        <w:rPr>
          <w:i/>
        </w:rPr>
      </w:pPr>
      <w:r w:rsidRPr="007334C2">
        <w:rPr>
          <w:i/>
        </w:rPr>
        <w:t xml:space="preserve">2.1. Существует ли зависимость активности игроков по совершению </w:t>
      </w:r>
      <w:proofErr w:type="spellStart"/>
      <w:r w:rsidRPr="007334C2">
        <w:rPr>
          <w:i/>
        </w:rPr>
        <w:t>внутриигровых</w:t>
      </w:r>
      <w:proofErr w:type="spellEnd"/>
      <w:r w:rsidRPr="007334C2">
        <w:rPr>
          <w:i/>
        </w:rPr>
        <w:t xml:space="preserve"> </w:t>
      </w:r>
      <w:bookmarkStart w:id="7" w:name="_GoBack"/>
      <w:bookmarkEnd w:id="7"/>
      <w:r w:rsidRPr="007334C2">
        <w:rPr>
          <w:i/>
        </w:rPr>
        <w:t>покупок от расы персонажа?</w:t>
      </w:r>
    </w:p>
    <w:p w:rsidR="00A4638A" w:rsidRPr="007334C2" w:rsidRDefault="007334C2">
      <w:r w:rsidRPr="007334C2">
        <w:t xml:space="preserve">В процентном соотношении количество покупателей эпических предметов не зависит от расы. Пользователи, играющие за расы “Человек” и “Ангел” в </w:t>
      </w:r>
      <w:proofErr w:type="gramStart"/>
      <w:r w:rsidRPr="007334C2">
        <w:t>среднем</w:t>
      </w:r>
      <w:proofErr w:type="gramEnd"/>
      <w:r w:rsidRPr="007334C2">
        <w:t xml:space="preserve"> со</w:t>
      </w:r>
      <w:r w:rsidRPr="007334C2">
        <w:t>вершают большее количество покупок, чем другие расы (121 и 107 покупок на игрока соответственно против 80 в среднем по другим расам), однако суммарная стоимость покупок у этих персонажей находится на среднем уровне. Максимальная итоговая сумма покупок прих</w:t>
      </w:r>
      <w:r w:rsidRPr="007334C2">
        <w:t xml:space="preserve">одится на игроков рас “Снежный человек” и “Эльф”: возможно это связано с тем, что предметы для этих персонажей стоят дороже, чем для других. </w:t>
      </w:r>
      <w:r w:rsidRPr="007334C2">
        <w:t>Д</w:t>
      </w:r>
      <w:r w:rsidRPr="007334C2">
        <w:t xml:space="preserve">етальнее с данными показателями </w:t>
      </w:r>
      <w:r w:rsidRPr="007334C2">
        <w:t>можно ознакомиться на диаграмме.</w:t>
      </w:r>
    </w:p>
    <w:p w:rsidR="00A4638A" w:rsidRPr="007334C2" w:rsidRDefault="007334C2">
      <w:r w:rsidRPr="007334C2">
        <w:rPr>
          <w:noProof/>
        </w:rPr>
        <w:lastRenderedPageBreak/>
        <w:drawing>
          <wp:inline distT="114300" distB="114300" distL="114300" distR="114300" wp14:anchorId="29197B05" wp14:editId="519133C0">
            <wp:extent cx="5138738" cy="3186960"/>
            <wp:effectExtent l="0" t="0" r="0" b="0"/>
            <wp:docPr id="2" name="image1.png" descr="Диаграмма"/>
            <wp:cNvGraphicFramePr/>
            <a:graphic xmlns:a="http://schemas.openxmlformats.org/drawingml/2006/main">
              <a:graphicData uri="http://schemas.openxmlformats.org/drawingml/2006/picture">
                <pic:pic xmlns:pic="http://schemas.openxmlformats.org/drawingml/2006/picture">
                  <pic:nvPicPr>
                    <pic:cNvPr id="0" name="image1.png" descr="Диаграмма"/>
                    <pic:cNvPicPr preferRelativeResize="0"/>
                  </pic:nvPicPr>
                  <pic:blipFill>
                    <a:blip r:embed="rId5"/>
                    <a:srcRect/>
                    <a:stretch>
                      <a:fillRect/>
                    </a:stretch>
                  </pic:blipFill>
                  <pic:spPr>
                    <a:xfrm>
                      <a:off x="0" y="0"/>
                      <a:ext cx="5138738" cy="3186960"/>
                    </a:xfrm>
                    <a:prstGeom prst="rect">
                      <a:avLst/>
                    </a:prstGeom>
                    <a:ln/>
                  </pic:spPr>
                </pic:pic>
              </a:graphicData>
            </a:graphic>
          </wp:inline>
        </w:drawing>
      </w:r>
    </w:p>
    <w:p w:rsidR="00A4638A" w:rsidRPr="007334C2" w:rsidRDefault="007334C2">
      <w:r w:rsidRPr="007334C2">
        <w:t>Г</w:t>
      </w:r>
      <w:r w:rsidRPr="007334C2">
        <w:t>ипотеза, что прохождение игры за персонажей разных рас требует примерно равного количества покупок эпических предметов, не подтверждается: игра за расы “Ангел” и “Человек” требует большего числа покупок, чем за другие расы. При этом суммарная стоимость пок</w:t>
      </w:r>
      <w:r w:rsidRPr="007334C2">
        <w:t xml:space="preserve">упок на одного игрока внутри расы не зависит от количества покупок. Таким образом, можно сделать вывод, что игра достаточно хорошо сбалансирована, и в ней нет слишком “лёгких” или “сложных” для прохождения рас. </w:t>
      </w:r>
    </w:p>
    <w:p w:rsidR="00A4638A" w:rsidRPr="007334C2" w:rsidRDefault="00A4638A"/>
    <w:p w:rsidR="00A4638A" w:rsidRPr="007334C2" w:rsidRDefault="007334C2">
      <w:r w:rsidRPr="007334C2">
        <w:t>Интересно, что среди игроков расы “Демон” м</w:t>
      </w:r>
      <w:r w:rsidRPr="007334C2">
        <w:t>инимальный процент покупателей, однако среди них самый высокий процент платящих покупателей. Стоит детальнее изучить данный вопрос, возможно, предметы для этой расы слишком дорогие, поэтому покупки совершают только те пользователи, которые изначально готов</w:t>
      </w:r>
      <w:r w:rsidRPr="007334C2">
        <w:t xml:space="preserve">ы вкладывать в игру деньги. </w:t>
      </w:r>
    </w:p>
    <w:p w:rsidR="00A4638A" w:rsidRPr="007334C2" w:rsidRDefault="007334C2" w:rsidP="007334C2">
      <w:r w:rsidRPr="007334C2">
        <w:rPr>
          <w:noProof/>
        </w:rPr>
        <w:drawing>
          <wp:inline distT="114300" distB="114300" distL="114300" distR="114300" wp14:anchorId="4A7B2AC9" wp14:editId="72253948">
            <wp:extent cx="5053013" cy="3122853"/>
            <wp:effectExtent l="0" t="0" r="0" b="0"/>
            <wp:docPr id="1" name="image2.png" descr="Диаграмма"/>
            <wp:cNvGraphicFramePr/>
            <a:graphic xmlns:a="http://schemas.openxmlformats.org/drawingml/2006/main">
              <a:graphicData uri="http://schemas.openxmlformats.org/drawingml/2006/picture">
                <pic:pic xmlns:pic="http://schemas.openxmlformats.org/drawingml/2006/picture">
                  <pic:nvPicPr>
                    <pic:cNvPr id="0" name="image2.png" descr="Диаграмма"/>
                    <pic:cNvPicPr preferRelativeResize="0"/>
                  </pic:nvPicPr>
                  <pic:blipFill>
                    <a:blip r:embed="rId6"/>
                    <a:srcRect/>
                    <a:stretch>
                      <a:fillRect/>
                    </a:stretch>
                  </pic:blipFill>
                  <pic:spPr>
                    <a:xfrm>
                      <a:off x="0" y="0"/>
                      <a:ext cx="5053013" cy="3122853"/>
                    </a:xfrm>
                    <a:prstGeom prst="rect">
                      <a:avLst/>
                    </a:prstGeom>
                    <a:ln/>
                  </pic:spPr>
                </pic:pic>
              </a:graphicData>
            </a:graphic>
          </wp:inline>
        </w:drawing>
      </w:r>
    </w:p>
    <w:p w:rsidR="007334C2" w:rsidRDefault="007334C2">
      <w:pPr>
        <w:rPr>
          <w:sz w:val="28"/>
          <w:szCs w:val="28"/>
        </w:rPr>
      </w:pPr>
      <w:bookmarkStart w:id="8" w:name="_3ksikir39xg5" w:colFirst="0" w:colLast="0"/>
      <w:bookmarkStart w:id="9" w:name="_nwm5lzghpmz8" w:colFirst="0" w:colLast="0"/>
      <w:bookmarkEnd w:id="8"/>
      <w:bookmarkEnd w:id="9"/>
      <w:r>
        <w:br w:type="page"/>
      </w:r>
    </w:p>
    <w:p w:rsidR="00A4638A" w:rsidRPr="007334C2" w:rsidRDefault="007334C2">
      <w:pPr>
        <w:pStyle w:val="3"/>
        <w:spacing w:before="240" w:after="240"/>
        <w:rPr>
          <w:color w:val="auto"/>
        </w:rPr>
      </w:pPr>
      <w:r w:rsidRPr="007334C2">
        <w:rPr>
          <w:color w:val="auto"/>
        </w:rPr>
        <w:lastRenderedPageBreak/>
        <w:t>3</w:t>
      </w:r>
      <w:r w:rsidRPr="007334C2">
        <w:rPr>
          <w:color w:val="auto"/>
        </w:rPr>
        <w:t>. Общие выводы и рекомендации</w:t>
      </w:r>
    </w:p>
    <w:p w:rsidR="00A4638A" w:rsidRPr="007334C2" w:rsidRDefault="007334C2">
      <w:pPr>
        <w:spacing w:before="240" w:after="240"/>
      </w:pPr>
      <w:r w:rsidRPr="007334C2">
        <w:t>В</w:t>
      </w:r>
      <w:r w:rsidRPr="007334C2">
        <w:t xml:space="preserve"> целом, резкого дисбаланса по покупательской активности по расам в результате исследования обнаружено не было. Однако стоит заметить, что при наименьш</w:t>
      </w:r>
      <w:r w:rsidRPr="007334C2">
        <w:t>ем количестве пользователей, играющих за персонажей расы “Демон”, доля платящих игроков внутри этой расы максимальна. Возможно, для увеличения прибыли, стоит провести какие-либо кампании для увеличения популярности данной расы.</w:t>
      </w:r>
    </w:p>
    <w:p w:rsidR="00A4638A" w:rsidRPr="007334C2" w:rsidRDefault="007334C2">
      <w:pPr>
        <w:spacing w:before="240" w:after="240"/>
      </w:pPr>
      <w:r w:rsidRPr="007334C2">
        <w:t>Более 95% всех покупок прихо</w:t>
      </w:r>
      <w:r w:rsidRPr="007334C2">
        <w:t xml:space="preserve">дятся на два предмета: </w:t>
      </w:r>
      <w:proofErr w:type="spellStart"/>
      <w:r w:rsidRPr="007334C2">
        <w:rPr>
          <w:sz w:val="20"/>
          <w:szCs w:val="20"/>
        </w:rPr>
        <w:t>Book</w:t>
      </w:r>
      <w:proofErr w:type="spellEnd"/>
      <w:r w:rsidRPr="007334C2">
        <w:rPr>
          <w:sz w:val="20"/>
          <w:szCs w:val="20"/>
        </w:rPr>
        <w:t xml:space="preserve"> </w:t>
      </w:r>
      <w:proofErr w:type="spellStart"/>
      <w:r w:rsidRPr="007334C2">
        <w:rPr>
          <w:sz w:val="20"/>
          <w:szCs w:val="20"/>
        </w:rPr>
        <w:t>of</w:t>
      </w:r>
      <w:proofErr w:type="spellEnd"/>
      <w:r w:rsidRPr="007334C2">
        <w:rPr>
          <w:sz w:val="20"/>
          <w:szCs w:val="20"/>
        </w:rPr>
        <w:t xml:space="preserve"> </w:t>
      </w:r>
      <w:proofErr w:type="spellStart"/>
      <w:r w:rsidRPr="007334C2">
        <w:rPr>
          <w:sz w:val="20"/>
          <w:szCs w:val="20"/>
        </w:rPr>
        <w:t>Legends</w:t>
      </w:r>
      <w:proofErr w:type="spellEnd"/>
      <w:r w:rsidRPr="007334C2">
        <w:t xml:space="preserve"> и </w:t>
      </w:r>
      <w:proofErr w:type="spellStart"/>
      <w:r w:rsidRPr="007334C2">
        <w:rPr>
          <w:sz w:val="20"/>
          <w:szCs w:val="20"/>
        </w:rPr>
        <w:t>Bag</w:t>
      </w:r>
      <w:proofErr w:type="spellEnd"/>
      <w:r w:rsidRPr="007334C2">
        <w:rPr>
          <w:sz w:val="20"/>
          <w:szCs w:val="20"/>
        </w:rPr>
        <w:t xml:space="preserve"> </w:t>
      </w:r>
      <w:proofErr w:type="spellStart"/>
      <w:r w:rsidRPr="007334C2">
        <w:rPr>
          <w:sz w:val="20"/>
          <w:szCs w:val="20"/>
        </w:rPr>
        <w:t>of</w:t>
      </w:r>
      <w:proofErr w:type="spellEnd"/>
      <w:r w:rsidRPr="007334C2">
        <w:rPr>
          <w:sz w:val="20"/>
          <w:szCs w:val="20"/>
        </w:rPr>
        <w:t xml:space="preserve"> </w:t>
      </w:r>
      <w:proofErr w:type="spellStart"/>
      <w:r w:rsidRPr="007334C2">
        <w:rPr>
          <w:sz w:val="20"/>
          <w:szCs w:val="20"/>
        </w:rPr>
        <w:t>Holding</w:t>
      </w:r>
      <w:proofErr w:type="spellEnd"/>
      <w:r w:rsidRPr="007334C2">
        <w:t>. Похоже, что эти предметы универсальны для всех раз, поэтому пользуются высокой популярностью.</w:t>
      </w:r>
    </w:p>
    <w:p w:rsidR="00A4638A" w:rsidRPr="007334C2" w:rsidRDefault="007334C2">
      <w:pPr>
        <w:spacing w:before="240" w:after="240"/>
      </w:pPr>
      <w:r w:rsidRPr="007334C2">
        <w:t>Стоит изучить причины возникновения покупок с нулевой стоимостью. Если это была рекламная компания с разд</w:t>
      </w:r>
      <w:r w:rsidRPr="007334C2">
        <w:t xml:space="preserve">ачей бесплатных предметов, то похоже, что она была успешной, поскольку только 1 пользователь, купивший предмет бесплатно, больше не совершал никаких </w:t>
      </w:r>
      <w:proofErr w:type="spellStart"/>
      <w:r w:rsidRPr="007334C2">
        <w:t>внутриигровых</w:t>
      </w:r>
      <w:proofErr w:type="spellEnd"/>
      <w:r w:rsidRPr="007334C2">
        <w:t xml:space="preserve"> покупок.</w:t>
      </w:r>
    </w:p>
    <w:p w:rsidR="00A4638A" w:rsidRPr="007334C2" w:rsidRDefault="00A4638A"/>
    <w:sectPr w:rsidR="00A4638A" w:rsidRPr="007334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8A"/>
    <w:rsid w:val="007334C2"/>
    <w:rsid w:val="00A463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2F49"/>
  <w15:docId w15:val="{6068312F-3288-41AF-998D-8FFC8AE1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846</Words>
  <Characters>4824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Jurata Jurata</dc:creator>
  <cp:lastModifiedBy>Jurata</cp:lastModifiedBy>
  <cp:revision>2</cp:revision>
  <dcterms:created xsi:type="dcterms:W3CDTF">2025-06-05T11:30:00Z</dcterms:created>
  <dcterms:modified xsi:type="dcterms:W3CDTF">2025-06-05T11:30:00Z</dcterms:modified>
</cp:coreProperties>
</file>