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Review Memo — Sample Output</w:t>
      </w:r>
    </w:p>
    <w:p>
      <w:r>
        <w:t>Document reviewed: Master Services Agreement (ScaleFlow / Northwind Retail)</w:t>
      </w:r>
    </w:p>
    <w:p>
      <w:r>
        <w:t>Review date: 2026-08-24 · Model: contract-review preset sample</w:t>
      </w:r>
    </w:p>
    <w:p>
      <w:pPr>
        <w:pStyle w:val="Heading1"/>
      </w:pPr>
      <w:r>
        <w:t>1. Summary</w:t>
      </w:r>
    </w:p>
    <w:p>
      <w:r>
        <w:t>Standard MSA, 24-month initial term with auto-renewal. Overall risk is moderate. Three clauses require attention before signature (see §3).</w:t>
      </w:r>
    </w:p>
    <w:p>
      <w:pPr>
        <w:pStyle w:val="Heading1"/>
      </w:pPr>
      <w:r>
        <w:t>2. Key terms</w:t>
      </w:r>
    </w:p>
    <w:p>
      <w:pPr>
        <w:pStyle w:val="ListBullet"/>
      </w:pPr>
      <w:r>
        <w:t>Term: 24 months, auto-renews in 12-month periods</w:t>
      </w:r>
    </w:p>
    <w:p>
      <w:pPr>
        <w:pStyle w:val="ListBullet"/>
      </w:pPr>
      <w:r>
        <w:t>Fees: $1,999/month, net-30 payment terms</w:t>
      </w:r>
    </w:p>
    <w:p>
      <w:pPr>
        <w:pStyle w:val="ListBullet"/>
      </w:pPr>
      <w:r>
        <w:t>Liability cap: 12 months of fees</w:t>
      </w:r>
    </w:p>
    <w:p>
      <w:pPr>
        <w:pStyle w:val="ListBullet"/>
      </w:pPr>
      <w:r>
        <w:t>Termination for convenience: 60-day notice (both parties)</w:t>
      </w:r>
    </w:p>
    <w:p>
      <w:pPr>
        <w:pStyle w:val="ListBullet"/>
      </w:pPr>
      <w:r>
        <w:t>Governing law: Delaware</w:t>
      </w:r>
    </w:p>
    <w:p>
      <w:pPr>
        <w:pStyle w:val="Heading1"/>
      </w:pPr>
      <w:r>
        <w:t>3. Issues flagged</w:t>
      </w:r>
    </w:p>
    <w:p>
      <w:pPr>
        <w:pStyle w:val="ListBullet"/>
      </w:pPr>
      <w:r>
        <w:t>HIGH — Section 8.2: Indemnification is one-sided (customer indemnifies vendor only). Request mutual indemnity.</w:t>
      </w:r>
    </w:p>
    <w:p>
      <w:pPr>
        <w:pStyle w:val="ListBullet"/>
      </w:pPr>
      <w:r>
        <w:t>MEDIUM — Section 11.4: Auto-renewal window closes 90 days before expiry — unusually long; 30–45 days is market.</w:t>
      </w:r>
    </w:p>
    <w:p>
      <w:pPr>
        <w:pStyle w:val="ListBullet"/>
      </w:pPr>
      <w:r>
        <w:t>LOW — Section 14: No SLA credits defined despite uptime commitment of 99.9%.</w:t>
      </w:r>
    </w:p>
    <w:p>
      <w:pPr>
        <w:pStyle w:val="Heading1"/>
      </w:pPr>
      <w:r>
        <w:t>4. Recommendations</w:t>
      </w:r>
    </w:p>
    <w:p>
      <w:pPr>
        <w:pStyle w:val="ListNumber"/>
      </w:pPr>
      <w:r>
        <w:t>Negotiate mutual indemnification before signing</w:t>
      </w:r>
    </w:p>
    <w:p>
      <w:pPr>
        <w:pStyle w:val="ListNumber"/>
      </w:pPr>
      <w:r>
        <w:t>Add SLA credit schedule (10% fee credit per 0.1% below target)</w:t>
      </w:r>
    </w:p>
    <w:p>
      <w:pPr>
        <w:pStyle w:val="ListNumber"/>
      </w:pPr>
      <w:r>
        <w:t>Diarize the renewal window 120 days 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