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Calibri"/>
          <w:b/>
          <w:color w:val="003366"/>
          <w:sz w:val="26"/>
        </w:rPr>
        <w:t>DIPLOMA FINAL-YEAR INTERNSHIP</w:t>
      </w:r>
    </w:p>
    <w:p>
      <w:pPr>
        <w:jc w:val="center"/>
      </w:pPr>
      <w:r>
        <w:rPr>
          <w:rFonts w:ascii="Calibri" w:hAnsi="Calibri" w:eastAsia="Calibri"/>
          <w:b/>
          <w:color w:val="505050"/>
          <w:sz w:val="24"/>
        </w:rPr>
        <w:t>COMPANY RESEARCH REPORT</w:t>
      </w:r>
    </w:p>
    <w:p/>
    <w:p>
      <w:pPr>
        <w:jc w:val="center"/>
      </w:pPr>
      <w:r>
        <w:rPr>
          <w:rFonts w:ascii="Calibri" w:hAnsi="Calibri" w:eastAsia="Calibri"/>
          <w:b/>
          <w:color w:val="003366"/>
          <w:sz w:val="36"/>
        </w:rPr>
        <w:t>TATA MOTORS LIMITED</w:t>
      </w:r>
    </w:p>
    <w:p>
      <w:pPr>
        <w:jc w:val="center"/>
      </w:pPr>
      <w:r>
        <w:rPr>
          <w:rFonts w:ascii="Calibri" w:hAnsi="Calibri" w:eastAsia="Calibri"/>
          <w:b w:val="0"/>
          <w:color w:val="464646"/>
          <w:sz w:val="22"/>
        </w:rPr>
        <w:t>A Study of Company Development, Automotive Products,</w:t>
        <w:br/>
        <w:t>Research and Development, and Manufacturing Methodologies</w:t>
      </w:r>
    </w:p>
    <w:p/>
    <w:tbl>
      <w:tblPr>
        <w:tblStyle w:val="TableGrid"/>
        <w:tblW w:type="auto" w:w="0"/>
        <w:tblLook w:firstColumn="1" w:firstRow="1" w:lastColumn="0" w:lastRow="0" w:noHBand="0" w:noVBand="1" w:val="04A0"/>
      </w:tblPr>
      <w:tblGrid>
        <w:gridCol w:w="4680"/>
        <w:gridCol w:w="4680"/>
      </w:tblGrid>
      <w:tr>
        <w:tc>
          <w:tcPr>
            <w:tcW w:type="dxa" w:w="4680"/>
            <w:shd w:fill="1F4E79"/>
          </w:tcPr>
          <w:p>
            <w:r>
              <w:rPr>
                <w:rFonts w:ascii="Calibri" w:hAnsi="Calibri" w:eastAsia="Calibri"/>
                <w:b/>
                <w:color w:val="FFFFFF"/>
                <w:sz w:val="22"/>
              </w:rPr>
              <w:t>Submitted by</w:t>
            </w:r>
          </w:p>
        </w:tc>
        <w:tc>
          <w:tcPr>
            <w:tcW w:type="dxa" w:w="4680"/>
            <w:shd w:fill="1F4E79"/>
          </w:tcPr>
          <w:p>
            <w:r>
              <w:rPr>
                <w:rFonts w:ascii="Calibri" w:hAnsi="Calibri" w:eastAsia="Calibri"/>
                <w:b/>
                <w:color w:val="FFFFFF"/>
                <w:sz w:val="22"/>
              </w:rPr>
              <w:t>Nachiket L Karoshi</w:t>
            </w:r>
          </w:p>
        </w:tc>
      </w:tr>
      <w:tr>
        <w:tc>
          <w:tcPr>
            <w:tcW w:type="dxa" w:w="4680"/>
          </w:tcPr>
          <w:p>
            <w:r>
              <w:rPr>
                <w:rFonts w:ascii="Calibri" w:hAnsi="Calibri" w:eastAsia="Calibri"/>
                <w:b w:val="0"/>
                <w:sz w:val="20"/>
              </w:rPr>
              <w:t>Diploma / Department</w:t>
            </w:r>
          </w:p>
        </w:tc>
        <w:tc>
          <w:tcPr>
            <w:tcW w:type="dxa" w:w="4680"/>
          </w:tcPr>
          <w:p>
            <w:r>
              <w:rPr>
                <w:rFonts w:ascii="Calibri" w:hAnsi="Calibri" w:eastAsia="Calibri"/>
                <w:b w:val="0"/>
                <w:sz w:val="20"/>
              </w:rPr>
              <w:t>Diploma in Electronics and Communication Engineering</w:t>
            </w:r>
          </w:p>
        </w:tc>
      </w:tr>
      <w:tr>
        <w:tc>
          <w:tcPr>
            <w:tcW w:type="dxa" w:w="4680"/>
            <w:shd w:fill="E8F1FA"/>
          </w:tcPr>
          <w:p>
            <w:r>
              <w:rPr>
                <w:rFonts w:ascii="Calibri" w:hAnsi="Calibri" w:eastAsia="Calibri"/>
                <w:b w:val="0"/>
                <w:sz w:val="20"/>
              </w:rPr>
              <w:t>Institution</w:t>
            </w:r>
          </w:p>
        </w:tc>
        <w:tc>
          <w:tcPr>
            <w:tcW w:type="dxa" w:w="4680"/>
            <w:shd w:fill="E8F1FA"/>
          </w:tcPr>
          <w:p>
            <w:r>
              <w:rPr>
                <w:rFonts w:ascii="Calibri" w:hAnsi="Calibri" w:eastAsia="Calibri"/>
                <w:b w:val="0"/>
                <w:sz w:val="20"/>
              </w:rPr>
              <w:t>KLE Society's C B Kolli Polytechnic, Haveri</w:t>
            </w:r>
          </w:p>
        </w:tc>
      </w:tr>
      <w:tr>
        <w:tc>
          <w:tcPr>
            <w:tcW w:type="dxa" w:w="4680"/>
          </w:tcPr>
          <w:p>
            <w:r>
              <w:rPr>
                <w:rFonts w:ascii="Calibri" w:hAnsi="Calibri" w:eastAsia="Calibri"/>
                <w:b w:val="0"/>
                <w:sz w:val="20"/>
              </w:rPr>
              <w:t>Internship organisation</w:t>
            </w:r>
          </w:p>
        </w:tc>
        <w:tc>
          <w:tcPr>
            <w:tcW w:type="dxa" w:w="4680"/>
          </w:tcPr>
          <w:p>
            <w:r>
              <w:rPr>
                <w:rFonts w:ascii="Calibri" w:hAnsi="Calibri" w:eastAsia="Calibri"/>
                <w:b w:val="0"/>
                <w:sz w:val="20"/>
              </w:rPr>
              <w:t>Tata Motors Limited</w:t>
            </w:r>
          </w:p>
        </w:tc>
      </w:tr>
      <w:tr>
        <w:tc>
          <w:tcPr>
            <w:tcW w:type="dxa" w:w="4680"/>
            <w:shd w:fill="E8F1FA"/>
          </w:tcPr>
          <w:p>
            <w:r>
              <w:rPr>
                <w:rFonts w:ascii="Calibri" w:hAnsi="Calibri" w:eastAsia="Calibri"/>
                <w:b w:val="0"/>
                <w:sz w:val="20"/>
              </w:rPr>
              <w:t>Academic year</w:t>
            </w:r>
          </w:p>
        </w:tc>
        <w:tc>
          <w:tcPr>
            <w:tcW w:type="dxa" w:w="4680"/>
            <w:shd w:fill="E8F1FA"/>
          </w:tcPr>
          <w:p>
            <w:r>
              <w:rPr>
                <w:rFonts w:ascii="Calibri" w:hAnsi="Calibri" w:eastAsia="Calibri"/>
                <w:b w:val="0"/>
                <w:sz w:val="20"/>
              </w:rPr>
              <w:t>2026–2027</w:t>
            </w:r>
          </w:p>
        </w:tc>
      </w:tr>
      <w:tr>
        <w:tc>
          <w:tcPr>
            <w:tcW w:type="dxa" w:w="4680"/>
          </w:tcPr>
          <w:p>
            <w:r>
              <w:rPr>
                <w:rFonts w:ascii="Calibri" w:hAnsi="Calibri" w:eastAsia="Calibri"/>
                <w:b w:val="0"/>
                <w:sz w:val="20"/>
              </w:rPr>
              <w:t>Submission date</w:t>
            </w:r>
          </w:p>
        </w:tc>
        <w:tc>
          <w:tcPr>
            <w:tcW w:type="dxa" w:w="4680"/>
          </w:tcPr>
          <w:p>
            <w:r>
              <w:rPr>
                <w:rFonts w:ascii="Calibri" w:hAnsi="Calibri" w:eastAsia="Calibri"/>
                <w:b w:val="0"/>
                <w:sz w:val="20"/>
              </w:rPr>
              <w:t>14 October 2026</w:t>
            </w:r>
          </w:p>
        </w:tc>
      </w:tr>
    </w:tbl>
    <w:p/>
    <w:p>
      <w:pPr>
        <w:jc w:val="center"/>
      </w:pPr>
      <w:r>
        <w:rPr>
          <w:rFonts w:ascii="Calibri" w:hAnsi="Calibri" w:eastAsia="Calibri"/>
          <w:b w:val="0"/>
          <w:color w:val="5A5A5A"/>
          <w:sz w:val="20"/>
        </w:rPr>
        <w:t>Submitted in partial fulfilment of the requirements for the Diploma final-year internship.</w:t>
      </w:r>
    </w:p>
    <w:p>
      <w:r>
        <w:br w:type="page"/>
      </w:r>
    </w:p>
    <w:p>
      <w:pPr>
        <w:spacing w:before="200" w:after="120"/>
      </w:pPr>
      <w:r>
        <w:rPr>
          <w:rFonts w:ascii="Calibri" w:hAnsi="Calibri" w:eastAsia="Calibri"/>
          <w:b/>
          <w:color w:val="003366"/>
          <w:sz w:val="32"/>
        </w:rPr>
        <w:t>Certificate / Declaration</w:t>
      </w:r>
    </w:p>
    <w:p>
      <w:pPr>
        <w:spacing w:line="288" w:lineRule="auto" w:after="160"/>
      </w:pPr>
      <w:r>
        <w:rPr>
          <w:rFonts w:ascii="Calibri" w:hAnsi="Calibri" w:eastAsia="Calibri"/>
          <w:b w:val="0"/>
          <w:sz w:val="22"/>
        </w:rPr>
        <w:t>I hereby declare that this report is my original work prepared for the diploma internship. Information is taken from official and public sources with acknowledgement.</w:t>
      </w:r>
    </w:p>
    <w:p>
      <w:pPr>
        <w:spacing w:line="288" w:lineRule="auto" w:after="160"/>
      </w:pPr>
      <w:r>
        <w:rPr>
          <w:rFonts w:ascii="Calibri" w:hAnsi="Calibri" w:eastAsia="Calibri"/>
          <w:b w:val="0"/>
          <w:sz w:val="22"/>
        </w:rPr>
        <w:t>Place: Haveri</w:t>
        <w:br/>
        <w:t>Date: 14 October 2026</w:t>
      </w:r>
    </w:p>
    <w:p>
      <w:pPr>
        <w:spacing w:line="288" w:lineRule="auto" w:after="160"/>
      </w:pPr>
      <w:r>
        <w:rPr>
          <w:rFonts w:ascii="Calibri" w:hAnsi="Calibri" w:eastAsia="Calibri"/>
          <w:b w:val="0"/>
          <w:sz w:val="22"/>
        </w:rPr>
        <w:t>Signature: _______________________</w:t>
        <w:br/>
        <w:t>Name: Nachiket L Karoshi</w:t>
      </w:r>
    </w:p>
    <w:p>
      <w:r>
        <w:br w:type="page"/>
      </w:r>
    </w:p>
    <w:p>
      <w:pPr>
        <w:spacing w:before="200" w:after="120"/>
      </w:pPr>
      <w:r>
        <w:rPr>
          <w:rFonts w:ascii="Calibri" w:hAnsi="Calibri" w:eastAsia="Calibri"/>
          <w:b/>
          <w:color w:val="003366"/>
          <w:sz w:val="32"/>
        </w:rPr>
        <w:t>Table of Contents</w:t>
      </w:r>
    </w:p>
    <w:p>
      <w:r>
        <w:rPr>
          <w:rFonts w:ascii="Calibri" w:hAnsi="Calibri" w:eastAsia="Calibri"/>
          <w:b w:val="0"/>
          <w:sz w:val="22"/>
        </w:rPr>
        <w:t>1. Introduction</w:t>
      </w:r>
    </w:p>
    <w:p>
      <w:r>
        <w:rPr>
          <w:rFonts w:ascii="Calibri" w:hAnsi="Calibri" w:eastAsia="Calibri"/>
          <w:b w:val="0"/>
          <w:sz w:val="22"/>
        </w:rPr>
        <w:t>2. About Tata Motors</w:t>
      </w:r>
    </w:p>
    <w:p>
      <w:r>
        <w:rPr>
          <w:rFonts w:ascii="Calibri" w:hAnsi="Calibri" w:eastAsia="Calibri"/>
          <w:b w:val="0"/>
          <w:sz w:val="22"/>
        </w:rPr>
        <w:t>3. Company Overview</w:t>
      </w:r>
    </w:p>
    <w:p>
      <w:r>
        <w:rPr>
          <w:rFonts w:ascii="Calibri" w:hAnsi="Calibri" w:eastAsia="Calibri"/>
          <w:b w:val="0"/>
          <w:sz w:val="22"/>
        </w:rPr>
        <w:t>4. History and Development of Tata Motors</w:t>
      </w:r>
    </w:p>
    <w:p>
      <w:r>
        <w:rPr>
          <w:rFonts w:ascii="Calibri" w:hAnsi="Calibri" w:eastAsia="Calibri"/>
          <w:b w:val="0"/>
          <w:sz w:val="22"/>
        </w:rPr>
        <w:t>5. Manufacturing Methodology Used by Tata Motors</w:t>
      </w:r>
    </w:p>
    <w:p>
      <w:r>
        <w:rPr>
          <w:rFonts w:ascii="Calibri" w:hAnsi="Calibri" w:eastAsia="Calibri"/>
          <w:b w:val="0"/>
          <w:sz w:val="22"/>
        </w:rPr>
        <w:t>6. Products Manufactured by Tata Motors</w:t>
      </w:r>
    </w:p>
    <w:p>
      <w:r>
        <w:rPr>
          <w:rFonts w:ascii="Calibri" w:hAnsi="Calibri" w:eastAsia="Calibri"/>
          <w:b w:val="0"/>
          <w:sz w:val="22"/>
        </w:rPr>
        <w:t>7. Challenges and Future Opportunities</w:t>
      </w:r>
    </w:p>
    <w:p>
      <w:r>
        <w:rPr>
          <w:rFonts w:ascii="Calibri" w:hAnsi="Calibri" w:eastAsia="Calibri"/>
          <w:b w:val="0"/>
          <w:sz w:val="22"/>
        </w:rPr>
        <w:t>8. Research Methodology</w:t>
      </w:r>
    </w:p>
    <w:p>
      <w:r>
        <w:rPr>
          <w:rFonts w:ascii="Calibri" w:hAnsi="Calibri" w:eastAsia="Calibri"/>
          <w:b w:val="0"/>
          <w:sz w:val="22"/>
        </w:rPr>
        <w:t>9. Conclusion</w:t>
      </w:r>
    </w:p>
    <w:p>
      <w:r>
        <w:br w:type="page"/>
      </w:r>
    </w:p>
    <w:p>
      <w:pPr>
        <w:spacing w:before="200" w:after="120"/>
      </w:pPr>
      <w:r>
        <w:rPr>
          <w:rFonts w:ascii="Calibri" w:hAnsi="Calibri" w:eastAsia="Calibri"/>
          <w:b/>
          <w:color w:val="003366"/>
          <w:sz w:val="32"/>
        </w:rPr>
        <w:t>1. Introduction</w:t>
      </w:r>
    </w:p>
    <w:p>
      <w:pPr>
        <w:jc w:val="center"/>
      </w:pPr>
      <w:r>
        <w:drawing>
          <wp:inline xmlns:a="http://schemas.openxmlformats.org/drawingml/2006/main" xmlns:pic="http://schemas.openxmlformats.org/drawingml/2006/picture">
            <wp:extent cx="1463040" cy="935248"/>
            <wp:docPr id="1" name="Picture 1"/>
            <wp:cNvGraphicFramePr>
              <a:graphicFrameLocks noChangeAspect="1"/>
            </wp:cNvGraphicFramePr>
            <a:graphic>
              <a:graphicData uri="http://schemas.openxmlformats.org/drawingml/2006/picture">
                <pic:pic>
                  <pic:nvPicPr>
                    <pic:cNvPr id="0" name="tata_motors_logo.png"/>
                    <pic:cNvPicPr/>
                  </pic:nvPicPr>
                  <pic:blipFill>
                    <a:blip r:embed="rId9"/>
                    <a:stretch>
                      <a:fillRect/>
                    </a:stretch>
                  </pic:blipFill>
                  <pic:spPr>
                    <a:xfrm>
                      <a:off x="0" y="0"/>
                      <a:ext cx="1463040" cy="935248"/>
                    </a:xfrm>
                    <a:prstGeom prst="rect"/>
                  </pic:spPr>
                </pic:pic>
              </a:graphicData>
            </a:graphic>
          </wp:inline>
        </w:drawing>
      </w:r>
    </w:p>
    <w:p>
      <w:pPr>
        <w:spacing w:line="288" w:lineRule="auto" w:after="160"/>
      </w:pPr>
      <w:r>
        <w:rPr>
          <w:rFonts w:ascii="Calibri" w:hAnsi="Calibri" w:eastAsia="Calibri"/>
          <w:b w:val="0"/>
          <w:sz w:val="22"/>
        </w:rPr>
        <w:t>The automobile industry is one of the most important sectors of the Indian economy. It contributes to industrial development, employment generation, technological innovation, infrastructure development, and international trade. Within this industry, Tata Motors has established itself as a major automobile manufacturer with a strong presence in passenger vehicles, commercial vehicles, electric mobility, and vehicle engineering.</w:t>
      </w:r>
    </w:p>
    <w:p>
      <w:pPr>
        <w:spacing w:line="288" w:lineRule="auto" w:after="160"/>
      </w:pPr>
      <w:r>
        <w:rPr>
          <w:rFonts w:ascii="Calibri" w:hAnsi="Calibri" w:eastAsia="Calibri"/>
          <w:b w:val="0"/>
          <w:sz w:val="22"/>
        </w:rPr>
        <w:t>Tata Motors was established in 1945 as Tata Engineering and Locomotive Company Limited (TELCO). Initially, the company focused on manufacturing locomotives and engineering products. Over time, it expanded into commercial vehicles, passenger cars, sports utility vehicles (SUVs), buses, and electric vehicles. The company has contributed significantly to the development of the Indian automobile industry by introducing indigenous vehicle designs, expanding manufacturing capabilities, improving vehicle safety, and investing in sustainable mobility.</w:t>
      </w:r>
    </w:p>
    <w:p>
      <w:pPr>
        <w:spacing w:line="288" w:lineRule="auto" w:after="160"/>
      </w:pPr>
      <w:r>
        <w:rPr>
          <w:rFonts w:ascii="Calibri" w:hAnsi="Calibri" w:eastAsia="Calibri"/>
          <w:b w:val="0"/>
          <w:sz w:val="22"/>
        </w:rPr>
        <w:t>This research report examines Tata Motors' background, organisational development, products, manufacturing processes, achievements, business progress, and recent developments. It also studies manufacturing methodologies and the importance of continuous improvement in quality, productivity, and customer satisfaction.</w:t>
      </w:r>
    </w:p>
    <w:p>
      <w:pPr>
        <w:spacing w:before="200" w:after="120"/>
      </w:pPr>
      <w:r>
        <w:rPr>
          <w:rFonts w:ascii="Calibri" w:hAnsi="Calibri" w:eastAsia="Calibri"/>
          <w:b/>
          <w:color w:val="003366"/>
          <w:sz w:val="32"/>
        </w:rPr>
        <w:t>2. About Tata Motors</w:t>
      </w:r>
    </w:p>
    <w:p>
      <w:pPr>
        <w:jc w:val="center"/>
      </w:pPr>
      <w:r>
        <w:drawing>
          <wp:inline xmlns:a="http://schemas.openxmlformats.org/drawingml/2006/main" xmlns:pic="http://schemas.openxmlformats.org/drawingml/2006/picture">
            <wp:extent cx="5303520" cy="2964568"/>
            <wp:docPr id="2" name="Picture 2"/>
            <wp:cNvGraphicFramePr>
              <a:graphicFrameLocks noChangeAspect="1"/>
            </wp:cNvGraphicFramePr>
            <a:graphic>
              <a:graphicData uri="http://schemas.openxmlformats.org/drawingml/2006/picture">
                <pic:pic>
                  <pic:nvPicPr>
                    <pic:cNvPr id="0" name="photo_head_office.jpg"/>
                    <pic:cNvPicPr/>
                  </pic:nvPicPr>
                  <pic:blipFill>
                    <a:blip r:embed="rId10"/>
                    <a:stretch>
                      <a:fillRect/>
                    </a:stretch>
                  </pic:blipFill>
                  <pic:spPr>
                    <a:xfrm>
                      <a:off x="0" y="0"/>
                      <a:ext cx="5303520" cy="2964568"/>
                    </a:xfrm>
                    <a:prstGeom prst="rect"/>
                  </pic:spPr>
                </pic:pic>
              </a:graphicData>
            </a:graphic>
          </wp:inline>
        </w:drawing>
      </w:r>
    </w:p>
    <w:p>
      <w:pPr>
        <w:spacing w:line="288" w:lineRule="auto" w:after="160"/>
      </w:pPr>
      <w:r>
        <w:rPr>
          <w:rFonts w:ascii="Calibri" w:hAnsi="Calibri" w:eastAsia="Calibri"/>
          <w:b w:val="0"/>
          <w:sz w:val="22"/>
        </w:rPr>
        <w:t>Tata Motors is a well-known automotive manufacturer associated with the Tata Group. Its operations cover the design, development, manufacturing, marketing, and servicing of a wide range of vehicles.</w:t>
      </w:r>
    </w:p>
    <w:p>
      <w:pPr>
        <w:spacing w:line="288" w:lineRule="auto" w:after="160"/>
      </w:pPr>
      <w:r>
        <w:rPr>
          <w:rFonts w:ascii="Calibri" w:hAnsi="Calibri" w:eastAsia="Calibri"/>
          <w:b w:val="0"/>
          <w:sz w:val="22"/>
        </w:rPr>
        <w:t>The company serves individual customers, businesses, logistics operators, public transport organisations, and industrial customers. Its vehicles are used for personal transportation, goods transportation, passenger transport, construction, and specialised commercial applications.</w:t>
      </w:r>
    </w:p>
    <w:p>
      <w:pPr>
        <w:spacing w:line="288" w:lineRule="auto" w:after="160"/>
      </w:pPr>
      <w:r>
        <w:rPr>
          <w:rFonts w:ascii="Calibri" w:hAnsi="Calibri" w:eastAsia="Calibri"/>
          <w:b w:val="0"/>
          <w:sz w:val="22"/>
        </w:rPr>
        <w:t>Tata Motors has invested in research and development, vehicle electrification, connected technologies, safety engineering, and advanced manufacturing systems.</w:t>
      </w:r>
    </w:p>
    <w:p>
      <w:pPr>
        <w:spacing w:before="200" w:after="120"/>
      </w:pPr>
      <w:r>
        <w:rPr>
          <w:rFonts w:ascii="Calibri" w:hAnsi="Calibri" w:eastAsia="Calibri"/>
          <w:b/>
          <w:color w:val="003366"/>
          <w:sz w:val="32"/>
        </w:rPr>
        <w:t>3. Company Overview</w:t>
      </w:r>
    </w:p>
    <w:p>
      <w:pPr>
        <w:jc w:val="center"/>
      </w:pPr>
      <w:r>
        <w:drawing>
          <wp:inline xmlns:a="http://schemas.openxmlformats.org/drawingml/2006/main" xmlns:pic="http://schemas.openxmlformats.org/drawingml/2006/picture">
            <wp:extent cx="5486400" cy="2819736"/>
            <wp:docPr id="3" name="Picture 3"/>
            <wp:cNvGraphicFramePr>
              <a:graphicFrameLocks noChangeAspect="1"/>
            </wp:cNvGraphicFramePr>
            <a:graphic>
              <a:graphicData uri="http://schemas.openxmlformats.org/drawingml/2006/picture">
                <pic:pic>
                  <pic:nvPicPr>
                    <pic:cNvPr id="0" name="photo_overview.jpg"/>
                    <pic:cNvPicPr/>
                  </pic:nvPicPr>
                  <pic:blipFill>
                    <a:blip r:embed="rId11"/>
                    <a:stretch>
                      <a:fillRect/>
                    </a:stretch>
                  </pic:blipFill>
                  <pic:spPr>
                    <a:xfrm>
                      <a:off x="0" y="0"/>
                      <a:ext cx="5486400" cy="2819736"/>
                    </a:xfrm>
                    <a:prstGeom prst="rect"/>
                  </pic:spPr>
                </pic:pic>
              </a:graphicData>
            </a:graphic>
          </wp:inline>
        </w:drawing>
      </w:r>
    </w:p>
    <w:p>
      <w:pPr>
        <w:spacing w:line="288" w:lineRule="auto" w:after="160"/>
      </w:pPr>
      <w:r>
        <w:rPr>
          <w:rFonts w:ascii="Calibri" w:hAnsi="Calibri" w:eastAsia="Calibri"/>
          <w:b w:val="0"/>
          <w:sz w:val="22"/>
        </w:rPr>
        <w:t>Tata Motors operates in a highly competitive industry where product quality, pricing, design, safety, technology, fuel efficiency, and after-sales service influence customer decisions. Its business developed around two principal segments:</w:t>
      </w:r>
    </w:p>
    <w:p>
      <w:pPr>
        <w:spacing w:line="288" w:lineRule="auto" w:after="160"/>
      </w:pPr>
      <w:r>
        <w:rPr>
          <w:rFonts w:ascii="Calibri" w:hAnsi="Calibri" w:eastAsia="Calibri"/>
          <w:b w:val="0"/>
          <w:sz w:val="22"/>
        </w:rPr>
        <w:t>Passenger vehicles: Cars, SUVs and electric passenger vehicles for personal and family transportation.</w:t>
      </w:r>
    </w:p>
    <w:p>
      <w:pPr>
        <w:spacing w:line="288" w:lineRule="auto" w:after="160"/>
      </w:pPr>
      <w:r>
        <w:rPr>
          <w:rFonts w:ascii="Calibri" w:hAnsi="Calibri" w:eastAsia="Calibri"/>
          <w:b w:val="0"/>
          <w:sz w:val="22"/>
        </w:rPr>
        <w:t>Commercial vehicles: Trucks, buses, vans, light commercial vehicles and specialised vehicles for businesses and public transportation.</w:t>
      </w:r>
    </w:p>
    <w:p>
      <w:pPr>
        <w:spacing w:line="288" w:lineRule="auto" w:after="160"/>
      </w:pPr>
      <w:r>
        <w:rPr>
          <w:rFonts w:ascii="Calibri" w:hAnsi="Calibri" w:eastAsia="Calibri"/>
          <w:b w:val="0"/>
          <w:sz w:val="22"/>
        </w:rPr>
        <w:t>The group also includes electric mobility solutions and the global Jaguar Land Rover (JLR) business. Public reports for FY2024–25 note leadership in Indian CV, strong SUV growth in PV, and a large share of the passenger EV market.</w:t>
      </w:r>
    </w:p>
    <w:tbl>
      <w:tblPr>
        <w:tblStyle w:val="TableGrid"/>
        <w:tblW w:type="auto" w:w="0"/>
        <w:tblLook w:firstColumn="1" w:firstRow="1" w:lastColumn="0" w:lastRow="0" w:noHBand="0" w:noVBand="1" w:val="04A0"/>
      </w:tblPr>
      <w:tblGrid>
        <w:gridCol w:w="4680"/>
        <w:gridCol w:w="4680"/>
      </w:tblGrid>
      <w:tr>
        <w:tc>
          <w:tcPr>
            <w:tcW w:type="dxa" w:w="4680"/>
            <w:shd w:fill="1F4E79"/>
          </w:tcPr>
          <w:p>
            <w:r>
              <w:rPr>
                <w:rFonts w:ascii="Calibri" w:hAnsi="Calibri" w:eastAsia="Calibri"/>
                <w:b/>
                <w:color w:val="FFFFFF"/>
                <w:sz w:val="22"/>
              </w:rPr>
              <w:t>Particular</w:t>
            </w:r>
          </w:p>
        </w:tc>
        <w:tc>
          <w:tcPr>
            <w:tcW w:type="dxa" w:w="4680"/>
            <w:shd w:fill="1F4E79"/>
          </w:tcPr>
          <w:p>
            <w:r>
              <w:rPr>
                <w:rFonts w:ascii="Calibri" w:hAnsi="Calibri" w:eastAsia="Calibri"/>
                <w:b/>
                <w:color w:val="FFFFFF"/>
                <w:sz w:val="22"/>
              </w:rPr>
              <w:t>Details</w:t>
            </w:r>
          </w:p>
        </w:tc>
      </w:tr>
      <w:tr>
        <w:tc>
          <w:tcPr>
            <w:tcW w:type="dxa" w:w="4680"/>
          </w:tcPr>
          <w:p>
            <w:r>
              <w:rPr>
                <w:rFonts w:ascii="Calibri" w:hAnsi="Calibri" w:eastAsia="Calibri"/>
                <w:b w:val="0"/>
                <w:sz w:val="20"/>
              </w:rPr>
              <w:t>Company name</w:t>
            </w:r>
          </w:p>
        </w:tc>
        <w:tc>
          <w:tcPr>
            <w:tcW w:type="dxa" w:w="4680"/>
          </w:tcPr>
          <w:p>
            <w:r>
              <w:rPr>
                <w:rFonts w:ascii="Calibri" w:hAnsi="Calibri" w:eastAsia="Calibri"/>
                <w:b w:val="0"/>
                <w:sz w:val="20"/>
              </w:rPr>
              <w:t>Tata Motors Limited</w:t>
            </w:r>
          </w:p>
        </w:tc>
      </w:tr>
      <w:tr>
        <w:tc>
          <w:tcPr>
            <w:tcW w:type="dxa" w:w="4680"/>
            <w:shd w:fill="E8F1FA"/>
          </w:tcPr>
          <w:p>
            <w:r>
              <w:rPr>
                <w:rFonts w:ascii="Calibri" w:hAnsi="Calibri" w:eastAsia="Calibri"/>
                <w:b w:val="0"/>
                <w:sz w:val="20"/>
              </w:rPr>
              <w:t>Established</w:t>
            </w:r>
          </w:p>
        </w:tc>
        <w:tc>
          <w:tcPr>
            <w:tcW w:type="dxa" w:w="4680"/>
            <w:shd w:fill="E8F1FA"/>
          </w:tcPr>
          <w:p>
            <w:r>
              <w:rPr>
                <w:rFonts w:ascii="Calibri" w:hAnsi="Calibri" w:eastAsia="Calibri"/>
                <w:b w:val="0"/>
                <w:sz w:val="20"/>
              </w:rPr>
              <w:t>1945</w:t>
            </w:r>
          </w:p>
        </w:tc>
      </w:tr>
      <w:tr>
        <w:tc>
          <w:tcPr>
            <w:tcW w:type="dxa" w:w="4680"/>
          </w:tcPr>
          <w:p>
            <w:r>
              <w:rPr>
                <w:rFonts w:ascii="Calibri" w:hAnsi="Calibri" w:eastAsia="Calibri"/>
                <w:b w:val="0"/>
                <w:sz w:val="20"/>
              </w:rPr>
              <w:t>Original name</w:t>
            </w:r>
          </w:p>
        </w:tc>
        <w:tc>
          <w:tcPr>
            <w:tcW w:type="dxa" w:w="4680"/>
          </w:tcPr>
          <w:p>
            <w:r>
              <w:rPr>
                <w:rFonts w:ascii="Calibri" w:hAnsi="Calibri" w:eastAsia="Calibri"/>
                <w:b w:val="0"/>
                <w:sz w:val="20"/>
              </w:rPr>
              <w:t>Tata Engineering and Locomotive Company (TELCO)</w:t>
            </w:r>
          </w:p>
        </w:tc>
      </w:tr>
      <w:tr>
        <w:tc>
          <w:tcPr>
            <w:tcW w:type="dxa" w:w="4680"/>
            <w:shd w:fill="E8F1FA"/>
          </w:tcPr>
          <w:p>
            <w:r>
              <w:rPr>
                <w:rFonts w:ascii="Calibri" w:hAnsi="Calibri" w:eastAsia="Calibri"/>
                <w:b w:val="0"/>
                <w:sz w:val="20"/>
              </w:rPr>
              <w:t>Industry</w:t>
            </w:r>
          </w:p>
        </w:tc>
        <w:tc>
          <w:tcPr>
            <w:tcW w:type="dxa" w:w="4680"/>
            <w:shd w:fill="E8F1FA"/>
          </w:tcPr>
          <w:p>
            <w:r>
              <w:rPr>
                <w:rFonts w:ascii="Calibri" w:hAnsi="Calibri" w:eastAsia="Calibri"/>
                <w:b w:val="0"/>
                <w:sz w:val="20"/>
              </w:rPr>
              <w:t>Automotive manufacturing</w:t>
            </w:r>
          </w:p>
        </w:tc>
      </w:tr>
      <w:tr>
        <w:tc>
          <w:tcPr>
            <w:tcW w:type="dxa" w:w="4680"/>
          </w:tcPr>
          <w:p>
            <w:r>
              <w:rPr>
                <w:rFonts w:ascii="Calibri" w:hAnsi="Calibri" w:eastAsia="Calibri"/>
                <w:b w:val="0"/>
                <w:sz w:val="20"/>
              </w:rPr>
              <w:t>Headquarters</w:t>
            </w:r>
          </w:p>
        </w:tc>
        <w:tc>
          <w:tcPr>
            <w:tcW w:type="dxa" w:w="4680"/>
          </w:tcPr>
          <w:p>
            <w:r>
              <w:rPr>
                <w:rFonts w:ascii="Calibri" w:hAnsi="Calibri" w:eastAsia="Calibri"/>
                <w:b w:val="0"/>
                <w:sz w:val="20"/>
              </w:rPr>
              <w:t>Mumbai, Maharashtra, India</w:t>
            </w:r>
          </w:p>
        </w:tc>
      </w:tr>
      <w:tr>
        <w:tc>
          <w:tcPr>
            <w:tcW w:type="dxa" w:w="4680"/>
            <w:shd w:fill="E8F1FA"/>
          </w:tcPr>
          <w:p>
            <w:r>
              <w:rPr>
                <w:rFonts w:ascii="Calibri" w:hAnsi="Calibri" w:eastAsia="Calibri"/>
                <w:b w:val="0"/>
                <w:sz w:val="20"/>
              </w:rPr>
              <w:t>Parent group</w:t>
            </w:r>
          </w:p>
        </w:tc>
        <w:tc>
          <w:tcPr>
            <w:tcW w:type="dxa" w:w="4680"/>
            <w:shd w:fill="E8F1FA"/>
          </w:tcPr>
          <w:p>
            <w:r>
              <w:rPr>
                <w:rFonts w:ascii="Calibri" w:hAnsi="Calibri" w:eastAsia="Calibri"/>
                <w:b w:val="0"/>
                <w:sz w:val="20"/>
              </w:rPr>
              <w:t>Tata Group</w:t>
            </w:r>
          </w:p>
        </w:tc>
      </w:tr>
      <w:tr>
        <w:tc>
          <w:tcPr>
            <w:tcW w:type="dxa" w:w="4680"/>
          </w:tcPr>
          <w:p>
            <w:r>
              <w:rPr>
                <w:rFonts w:ascii="Calibri" w:hAnsi="Calibri" w:eastAsia="Calibri"/>
                <w:b w:val="0"/>
                <w:sz w:val="20"/>
              </w:rPr>
              <w:t>Main products</w:t>
            </w:r>
          </w:p>
        </w:tc>
        <w:tc>
          <w:tcPr>
            <w:tcW w:type="dxa" w:w="4680"/>
          </w:tcPr>
          <w:p>
            <w:r>
              <w:rPr>
                <w:rFonts w:ascii="Calibri" w:hAnsi="Calibri" w:eastAsia="Calibri"/>
                <w:b w:val="0"/>
                <w:sz w:val="20"/>
              </w:rPr>
              <w:t>Cars, SUVs, trucks, buses, electric vehicles</w:t>
            </w:r>
          </w:p>
        </w:tc>
      </w:tr>
      <w:tr>
        <w:tc>
          <w:tcPr>
            <w:tcW w:type="dxa" w:w="4680"/>
            <w:shd w:fill="E8F1FA"/>
          </w:tcPr>
          <w:p>
            <w:r>
              <w:rPr>
                <w:rFonts w:ascii="Calibri" w:hAnsi="Calibri" w:eastAsia="Calibri"/>
                <w:b w:val="0"/>
                <w:sz w:val="20"/>
              </w:rPr>
              <w:t>Major markets</w:t>
            </w:r>
          </w:p>
        </w:tc>
        <w:tc>
          <w:tcPr>
            <w:tcW w:type="dxa" w:w="4680"/>
            <w:shd w:fill="E8F1FA"/>
          </w:tcPr>
          <w:p>
            <w:r>
              <w:rPr>
                <w:rFonts w:ascii="Calibri" w:hAnsi="Calibri" w:eastAsia="Calibri"/>
                <w:b w:val="0"/>
                <w:sz w:val="20"/>
              </w:rPr>
              <w:t>India and international markets</w:t>
            </w:r>
          </w:p>
        </w:tc>
      </w:tr>
      <w:tr>
        <w:tc>
          <w:tcPr>
            <w:tcW w:type="dxa" w:w="4680"/>
          </w:tcPr>
          <w:p>
            <w:r>
              <w:rPr>
                <w:rFonts w:ascii="Calibri" w:hAnsi="Calibri" w:eastAsia="Calibri"/>
                <w:b w:val="0"/>
                <w:sz w:val="20"/>
              </w:rPr>
              <w:t>Key focus</w:t>
            </w:r>
          </w:p>
        </w:tc>
        <w:tc>
          <w:tcPr>
            <w:tcW w:type="dxa" w:w="4680"/>
          </w:tcPr>
          <w:p>
            <w:r>
              <w:rPr>
                <w:rFonts w:ascii="Calibri" w:hAnsi="Calibri" w:eastAsia="Calibri"/>
                <w:b w:val="0"/>
                <w:sz w:val="20"/>
              </w:rPr>
              <w:t>Quality, safety, innovation, sustainability</w:t>
            </w:r>
          </w:p>
        </w:tc>
      </w:tr>
    </w:tbl>
    <w:p>
      <w:r>
        <w:br w:type="page"/>
      </w:r>
    </w:p>
    <w:p>
      <w:pPr>
        <w:spacing w:before="200" w:after="120"/>
      </w:pPr>
      <w:r>
        <w:rPr>
          <w:rFonts w:ascii="Calibri" w:hAnsi="Calibri" w:eastAsia="Calibri"/>
          <w:b/>
          <w:color w:val="003366"/>
          <w:sz w:val="32"/>
        </w:rPr>
        <w:t>4. History and Development of Tata Motors</w:t>
      </w:r>
    </w:p>
    <w:tbl>
      <w:tblPr>
        <w:tblW w:type="auto" w:w="0"/>
        <w:jc w:val="center"/>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651760" cy="1341664"/>
                  <wp:docPr id="4" name="Picture 4"/>
                  <wp:cNvGraphicFramePr>
                    <a:graphicFrameLocks noChangeAspect="1"/>
                  </wp:cNvGraphicFramePr>
                  <a:graphic>
                    <a:graphicData uri="http://schemas.openxmlformats.org/drawingml/2006/picture">
                      <pic:pic>
                        <pic:nvPicPr>
                          <pic:cNvPr id="0" name="photo_history_collage.jpg"/>
                          <pic:cNvPicPr/>
                        </pic:nvPicPr>
                        <pic:blipFill>
                          <a:blip r:embed="rId12"/>
                          <a:stretch>
                            <a:fillRect/>
                          </a:stretch>
                        </pic:blipFill>
                        <pic:spPr>
                          <a:xfrm>
                            <a:off x="0" y="0"/>
                            <a:ext cx="2651760" cy="1341664"/>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651760" cy="1692707"/>
                  <wp:docPr id="5" name="Picture 5"/>
                  <wp:cNvGraphicFramePr>
                    <a:graphicFrameLocks noChangeAspect="1"/>
                  </wp:cNvGraphicFramePr>
                  <a:graphic>
                    <a:graphicData uri="http://schemas.openxmlformats.org/drawingml/2006/picture">
                      <pic:pic>
                        <pic:nvPicPr>
                          <pic:cNvPr id="0" name="photo_history_indica.jpg"/>
                          <pic:cNvPicPr/>
                        </pic:nvPicPr>
                        <pic:blipFill>
                          <a:blip r:embed="rId13"/>
                          <a:stretch>
                            <a:fillRect/>
                          </a:stretch>
                        </pic:blipFill>
                        <pic:spPr>
                          <a:xfrm>
                            <a:off x="0" y="0"/>
                            <a:ext cx="2651760" cy="1692707"/>
                          </a:xfrm>
                          <a:prstGeom prst="rect"/>
                        </pic:spPr>
                      </pic:pic>
                    </a:graphicData>
                  </a:graphic>
                </wp:inline>
              </w:drawing>
            </w:r>
          </w:p>
        </w:tc>
      </w:tr>
    </w:tbl>
    <w:p/>
    <w:p>
      <w:pPr>
        <w:spacing w:before="200" w:after="120"/>
      </w:pPr>
      <w:r>
        <w:rPr>
          <w:rFonts w:ascii="Calibri" w:hAnsi="Calibri" w:eastAsia="Calibri"/>
          <w:b/>
          <w:color w:val="003366"/>
          <w:sz w:val="26"/>
        </w:rPr>
        <w:t>4.1 Early foundation: 1945</w:t>
      </w:r>
    </w:p>
    <w:p>
      <w:pPr>
        <w:spacing w:line="288" w:lineRule="auto" w:after="160"/>
      </w:pPr>
      <w:r>
        <w:rPr>
          <w:rFonts w:ascii="Calibri" w:hAnsi="Calibri" w:eastAsia="Calibri"/>
          <w:b w:val="0"/>
          <w:sz w:val="22"/>
        </w:rPr>
        <w:t>Tata Motors was established in 1945 as TELCO, with initial focus on locomotives and engineering products.</w:t>
      </w:r>
    </w:p>
    <w:p>
      <w:pPr>
        <w:spacing w:before="200" w:after="120"/>
      </w:pPr>
      <w:r>
        <w:rPr>
          <w:rFonts w:ascii="Calibri" w:hAnsi="Calibri" w:eastAsia="Calibri"/>
          <w:b/>
          <w:color w:val="003366"/>
          <w:sz w:val="26"/>
        </w:rPr>
        <w:t>4.2 Entry into commercial vehicles: 1950s</w:t>
      </w:r>
    </w:p>
    <w:p>
      <w:pPr>
        <w:spacing w:line="288" w:lineRule="auto" w:after="160"/>
      </w:pPr>
      <w:r>
        <w:rPr>
          <w:rFonts w:ascii="Calibri" w:hAnsi="Calibri" w:eastAsia="Calibri"/>
          <w:b w:val="0"/>
          <w:sz w:val="22"/>
        </w:rPr>
        <w:t>The company entered commercial vehicles through collaboration with Daimler-Benz (1954).</w:t>
      </w:r>
    </w:p>
    <w:p>
      <w:pPr>
        <w:spacing w:before="200" w:after="120"/>
      </w:pPr>
      <w:r>
        <w:rPr>
          <w:rFonts w:ascii="Calibri" w:hAnsi="Calibri" w:eastAsia="Calibri"/>
          <w:b/>
          <w:color w:val="003366"/>
          <w:sz w:val="26"/>
        </w:rPr>
        <w:t>4.3 Expansion into passenger vehicles</w:t>
      </w:r>
    </w:p>
    <w:p>
      <w:pPr>
        <w:spacing w:line="288" w:lineRule="auto" w:after="160"/>
      </w:pPr>
      <w:r>
        <w:rPr>
          <w:rFonts w:ascii="Calibri" w:hAnsi="Calibri" w:eastAsia="Calibri"/>
          <w:b w:val="0"/>
          <w:sz w:val="22"/>
        </w:rPr>
        <w:t>Passenger vehicles expanded the business beyond commercial transport. The Tata Indica (1998) became a milestone as an indigenously developed passenger car.</w:t>
      </w:r>
    </w:p>
    <w:p>
      <w:pPr>
        <w:spacing w:before="200" w:after="120"/>
      </w:pPr>
      <w:r>
        <w:rPr>
          <w:rFonts w:ascii="Calibri" w:hAnsi="Calibri" w:eastAsia="Calibri"/>
          <w:b/>
          <w:color w:val="003366"/>
          <w:sz w:val="26"/>
        </w:rPr>
        <w:t>4.4 International expansion: 2000s</w:t>
      </w:r>
    </w:p>
    <w:p>
      <w:pPr>
        <w:spacing w:line="288" w:lineRule="auto" w:after="160"/>
      </w:pPr>
      <w:r>
        <w:rPr>
          <w:rFonts w:ascii="Calibri" w:hAnsi="Calibri" w:eastAsia="Calibri"/>
          <w:b w:val="0"/>
          <w:sz w:val="22"/>
        </w:rPr>
        <w:t>2004: Daewoo Commercial Vehicle Company (South Korea). 2008: Jaguar Land Rover acquired from Ford — a landmark global acquisition.</w:t>
      </w:r>
    </w:p>
    <w:p>
      <w:pPr>
        <w:spacing w:before="200" w:after="120"/>
      </w:pPr>
      <w:r>
        <w:rPr>
          <w:rFonts w:ascii="Calibri" w:hAnsi="Calibri" w:eastAsia="Calibri"/>
          <w:b/>
          <w:color w:val="003366"/>
          <w:sz w:val="26"/>
        </w:rPr>
        <w:t>4.5 Development of modern vehicles</w:t>
      </w:r>
    </w:p>
    <w:p>
      <w:pPr>
        <w:spacing w:line="288" w:lineRule="auto" w:after="160"/>
      </w:pPr>
      <w:r>
        <w:rPr>
          <w:rFonts w:ascii="Calibri" w:hAnsi="Calibri" w:eastAsia="Calibri"/>
          <w:b w:val="0"/>
          <w:sz w:val="22"/>
        </w:rPr>
        <w:t>Modern lineup includes Tiago, Nexon, Harrier, Safari, Punch, and Curvv with improved safety, design, and technology.</w:t>
      </w:r>
    </w:p>
    <w:p>
      <w:pPr>
        <w:spacing w:before="200" w:after="120"/>
      </w:pPr>
      <w:r>
        <w:rPr>
          <w:rFonts w:ascii="Calibri" w:hAnsi="Calibri" w:eastAsia="Calibri"/>
          <w:b/>
          <w:color w:val="003366"/>
          <w:sz w:val="26"/>
        </w:rPr>
        <w:t>4.6 Electric mobility and digital manufacturing</w:t>
      </w:r>
    </w:p>
    <w:p>
      <w:pPr>
        <w:spacing w:line="288" w:lineRule="auto" w:after="160"/>
      </w:pPr>
      <w:r>
        <w:rPr>
          <w:rFonts w:ascii="Calibri" w:hAnsi="Calibri" w:eastAsia="Calibri"/>
          <w:b w:val="0"/>
          <w:sz w:val="22"/>
        </w:rPr>
        <w:t>Investments in battery-electric vehicles, ZIPTRON powertrain, charging partnerships, connected features, automation, and sustainable mobility. FY25 milestones include expanded EV/CNG portfolio and new manufacturing capacity.</w:t>
      </w:r>
    </w:p>
    <w:p>
      <w:pPr>
        <w:spacing w:before="200" w:after="120"/>
      </w:pPr>
      <w:r>
        <w:rPr>
          <w:rFonts w:ascii="Calibri" w:hAnsi="Calibri" w:eastAsia="Calibri"/>
          <w:b/>
          <w:color w:val="003366"/>
          <w:sz w:val="32"/>
        </w:rPr>
        <w:t>5. Manufacturing Methodology Used by Tata Motors</w:t>
      </w:r>
    </w:p>
    <w:tbl>
      <w:tblPr>
        <w:tblW w:type="auto" w:w="0"/>
        <w:jc w:val="center"/>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651760" cy="1878330"/>
                  <wp:docPr id="6" name="Picture 6"/>
                  <wp:cNvGraphicFramePr>
                    <a:graphicFrameLocks noChangeAspect="1"/>
                  </wp:cNvGraphicFramePr>
                  <a:graphic>
                    <a:graphicData uri="http://schemas.openxmlformats.org/drawingml/2006/picture">
                      <pic:pic>
                        <pic:nvPicPr>
                          <pic:cNvPr id="0" name="photo_manufacturing_robots.jpg"/>
                          <pic:cNvPicPr/>
                        </pic:nvPicPr>
                        <pic:blipFill>
                          <a:blip r:embed="rId14"/>
                          <a:stretch>
                            <a:fillRect/>
                          </a:stretch>
                        </pic:blipFill>
                        <pic:spPr>
                          <a:xfrm>
                            <a:off x="0" y="0"/>
                            <a:ext cx="2651760" cy="187833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651760" cy="1864519"/>
                  <wp:docPr id="7" name="Picture 7"/>
                  <wp:cNvGraphicFramePr>
                    <a:graphicFrameLocks noChangeAspect="1"/>
                  </wp:cNvGraphicFramePr>
                  <a:graphic>
                    <a:graphicData uri="http://schemas.openxmlformats.org/drawingml/2006/picture">
                      <pic:pic>
                        <pic:nvPicPr>
                          <pic:cNvPr id="0" name="photo_manufacturing_workers.jpg"/>
                          <pic:cNvPicPr/>
                        </pic:nvPicPr>
                        <pic:blipFill>
                          <a:blip r:embed="rId15"/>
                          <a:stretch>
                            <a:fillRect/>
                          </a:stretch>
                        </pic:blipFill>
                        <pic:spPr>
                          <a:xfrm>
                            <a:off x="0" y="0"/>
                            <a:ext cx="2651760" cy="1864519"/>
                          </a:xfrm>
                          <a:prstGeom prst="rect"/>
                        </pic:spPr>
                      </pic:pic>
                    </a:graphicData>
                  </a:graphic>
                </wp:inline>
              </w:drawing>
            </w:r>
          </w:p>
        </w:tc>
      </w:tr>
    </w:tbl>
    <w:p/>
    <w:p>
      <w:pPr>
        <w:spacing w:line="288" w:lineRule="auto" w:after="160"/>
      </w:pPr>
      <w:r>
        <w:rPr>
          <w:rFonts w:ascii="Calibri" w:hAnsi="Calibri" w:eastAsia="Calibri"/>
          <w:b w:val="0"/>
          <w:sz w:val="22"/>
        </w:rPr>
        <w:t>Automobile manufacturing involves design, procurement, assembly, inspection, and delivery. The following are established practices relevant to Tata Motors operations (general industry methods; exact procedures vary by plant).</w:t>
      </w:r>
    </w:p>
    <w:p>
      <w:pPr>
        <w:spacing w:before="200" w:after="120"/>
      </w:pPr>
      <w:r>
        <w:rPr>
          <w:rFonts w:ascii="Calibri" w:hAnsi="Calibri" w:eastAsia="Calibri"/>
          <w:b/>
          <w:color w:val="003366"/>
          <w:sz w:val="26"/>
        </w:rPr>
        <w:t>5.1 Lean manufacturing</w:t>
      </w:r>
    </w:p>
    <w:p>
      <w:pPr>
        <w:spacing w:line="288" w:lineRule="auto" w:after="160"/>
      </w:pPr>
      <w:r>
        <w:rPr>
          <w:rFonts w:ascii="Calibri" w:hAnsi="Calibri" w:eastAsia="Calibri"/>
          <w:b w:val="0"/>
          <w:sz w:val="22"/>
        </w:rPr>
        <w:t>Reduces waste; improves flow of materials and work.</w:t>
      </w:r>
    </w:p>
    <w:p>
      <w:pPr>
        <w:spacing w:before="200" w:after="120"/>
      </w:pPr>
      <w:r>
        <w:rPr>
          <w:rFonts w:ascii="Calibri" w:hAnsi="Calibri" w:eastAsia="Calibri"/>
          <w:b/>
          <w:color w:val="003366"/>
          <w:sz w:val="26"/>
        </w:rPr>
        <w:t>5.2 Just-in-Time (JIT)</w:t>
      </w:r>
    </w:p>
    <w:p>
      <w:pPr>
        <w:spacing w:line="288" w:lineRule="auto" w:after="160"/>
      </w:pPr>
      <w:r>
        <w:rPr>
          <w:rFonts w:ascii="Calibri" w:hAnsi="Calibri" w:eastAsia="Calibri"/>
          <w:b w:val="0"/>
          <w:sz w:val="22"/>
        </w:rPr>
        <w:t>Supplies components when required on the production line.</w:t>
      </w:r>
    </w:p>
    <w:p>
      <w:pPr>
        <w:spacing w:before="200" w:after="120"/>
      </w:pPr>
      <w:r>
        <w:rPr>
          <w:rFonts w:ascii="Calibri" w:hAnsi="Calibri" w:eastAsia="Calibri"/>
          <w:b/>
          <w:color w:val="003366"/>
          <w:sz w:val="26"/>
        </w:rPr>
        <w:t>5.3 Kaizen</w:t>
      </w:r>
    </w:p>
    <w:p>
      <w:pPr>
        <w:spacing w:line="288" w:lineRule="auto" w:after="160"/>
      </w:pPr>
      <w:r>
        <w:rPr>
          <w:rFonts w:ascii="Calibri" w:hAnsi="Calibri" w:eastAsia="Calibri"/>
          <w:b w:val="0"/>
          <w:sz w:val="22"/>
        </w:rPr>
        <w:t>Continuous incremental improvement by employees and supervisors.</w:t>
      </w:r>
    </w:p>
    <w:p>
      <w:pPr>
        <w:spacing w:before="200" w:after="120"/>
      </w:pPr>
      <w:r>
        <w:rPr>
          <w:rFonts w:ascii="Calibri" w:hAnsi="Calibri" w:eastAsia="Calibri"/>
          <w:b/>
          <w:color w:val="003366"/>
          <w:sz w:val="26"/>
        </w:rPr>
        <w:t>5.4 Total Quality Management</w:t>
      </w:r>
    </w:p>
    <w:p>
      <w:pPr>
        <w:spacing w:line="288" w:lineRule="auto" w:after="160"/>
      </w:pPr>
      <w:r>
        <w:rPr>
          <w:rFonts w:ascii="Calibri" w:hAnsi="Calibri" w:eastAsia="Calibri"/>
          <w:b w:val="0"/>
          <w:sz w:val="22"/>
        </w:rPr>
        <w:t>Quality across design, production, and service—not only inspection.</w:t>
      </w:r>
    </w:p>
    <w:p>
      <w:pPr>
        <w:spacing w:before="200" w:after="120"/>
      </w:pPr>
      <w:r>
        <w:rPr>
          <w:rFonts w:ascii="Calibri" w:hAnsi="Calibri" w:eastAsia="Calibri"/>
          <w:b/>
          <w:color w:val="003366"/>
          <w:sz w:val="26"/>
        </w:rPr>
        <w:t>5.5 Automation and robotics</w:t>
      </w:r>
    </w:p>
    <w:p>
      <w:pPr>
        <w:spacing w:line="288" w:lineRule="auto" w:after="160"/>
      </w:pPr>
      <w:r>
        <w:rPr>
          <w:rFonts w:ascii="Calibri" w:hAnsi="Calibri" w:eastAsia="Calibri"/>
          <w:b w:val="0"/>
          <w:sz w:val="22"/>
        </w:rPr>
        <w:t>Improves precision and repeatability in welding and assembly.</w:t>
      </w:r>
    </w:p>
    <w:p>
      <w:pPr>
        <w:spacing w:before="200" w:after="120"/>
      </w:pPr>
      <w:r>
        <w:rPr>
          <w:rFonts w:ascii="Calibri" w:hAnsi="Calibri" w:eastAsia="Calibri"/>
          <w:b/>
          <w:color w:val="003366"/>
          <w:sz w:val="26"/>
        </w:rPr>
        <w:t>5.6 CAD / CAM</w:t>
      </w:r>
    </w:p>
    <w:p>
      <w:pPr>
        <w:spacing w:line="288" w:lineRule="auto" w:after="160"/>
      </w:pPr>
      <w:r>
        <w:rPr>
          <w:rFonts w:ascii="Calibri" w:hAnsi="Calibri" w:eastAsia="Calibri"/>
          <w:b w:val="0"/>
          <w:sz w:val="22"/>
        </w:rPr>
        <w:t>Digital design and manufacturing planning.</w:t>
      </w:r>
    </w:p>
    <w:p>
      <w:pPr>
        <w:spacing w:before="200" w:after="120"/>
      </w:pPr>
      <w:r>
        <w:rPr>
          <w:rFonts w:ascii="Calibri" w:hAnsi="Calibri" w:eastAsia="Calibri"/>
          <w:b/>
          <w:color w:val="003366"/>
          <w:sz w:val="26"/>
        </w:rPr>
        <w:t>5.7 Supply chain management</w:t>
      </w:r>
    </w:p>
    <w:p>
      <w:pPr>
        <w:spacing w:line="288" w:lineRule="auto" w:after="160"/>
      </w:pPr>
      <w:r>
        <w:rPr>
          <w:rFonts w:ascii="Calibri" w:hAnsi="Calibri" w:eastAsia="Calibri"/>
          <w:b w:val="0"/>
          <w:sz w:val="22"/>
        </w:rPr>
        <w:t>Vendor quality, inventory, scheduling, and logistics.</w:t>
      </w:r>
    </w:p>
    <w:p>
      <w:pPr>
        <w:spacing w:before="200" w:after="120"/>
      </w:pPr>
      <w:r>
        <w:rPr>
          <w:rFonts w:ascii="Calibri" w:hAnsi="Calibri" w:eastAsia="Calibri"/>
          <w:b/>
          <w:color w:val="003366"/>
          <w:sz w:val="26"/>
        </w:rPr>
        <w:t>5.8 Safety and environment</w:t>
      </w:r>
    </w:p>
    <w:p>
      <w:pPr>
        <w:spacing w:line="288" w:lineRule="auto" w:after="160"/>
      </w:pPr>
      <w:r>
        <w:rPr>
          <w:rFonts w:ascii="Calibri" w:hAnsi="Calibri" w:eastAsia="Calibri"/>
          <w:b w:val="0"/>
          <w:sz w:val="22"/>
        </w:rPr>
        <w:t>Occupational safety, emissions, waste, and compliance.</w:t>
      </w:r>
    </w:p>
    <w:p>
      <w:pPr>
        <w:spacing w:before="200" w:after="120"/>
      </w:pPr>
      <w:r>
        <w:rPr>
          <w:rFonts w:ascii="Calibri" w:hAnsi="Calibri" w:eastAsia="Calibri"/>
          <w:b/>
          <w:color w:val="003366"/>
          <w:sz w:val="26"/>
        </w:rPr>
        <w:t>5.9 EV manufacturing</w:t>
      </w:r>
    </w:p>
    <w:p>
      <w:pPr>
        <w:spacing w:line="288" w:lineRule="auto" w:after="160"/>
      </w:pPr>
      <w:r>
        <w:rPr>
          <w:rFonts w:ascii="Calibri" w:hAnsi="Calibri" w:eastAsia="Calibri"/>
          <w:b w:val="0"/>
          <w:sz w:val="22"/>
        </w:rPr>
        <w:t>Battery packs, high-voltage safety, motors, and power electronics.</w:t>
      </w:r>
    </w:p>
    <w:p>
      <w:pPr>
        <w:spacing w:before="200" w:after="120"/>
      </w:pPr>
      <w:r>
        <w:rPr>
          <w:rFonts w:ascii="Calibri" w:hAnsi="Calibri" w:eastAsia="Calibri"/>
          <w:b/>
          <w:color w:val="003366"/>
          <w:sz w:val="26"/>
        </w:rPr>
        <w:t>5.10 Quality testing</w:t>
      </w:r>
    </w:p>
    <w:p>
      <w:pPr>
        <w:spacing w:line="288" w:lineRule="auto" w:after="160"/>
      </w:pPr>
      <w:r>
        <w:rPr>
          <w:rFonts w:ascii="Calibri" w:hAnsi="Calibri" w:eastAsia="Calibri"/>
          <w:b w:val="0"/>
          <w:sz w:val="22"/>
        </w:rPr>
        <w:t>Body, paint, electrical, powertrain, brake, leak, and road tests.</w:t>
      </w:r>
    </w:p>
    <w:p>
      <w:r>
        <w:br w:type="page"/>
      </w:r>
    </w:p>
    <w:p>
      <w:pPr>
        <w:spacing w:before="200" w:after="120"/>
      </w:pPr>
      <w:r>
        <w:rPr>
          <w:rFonts w:ascii="Calibri" w:hAnsi="Calibri" w:eastAsia="Calibri"/>
          <w:b/>
          <w:color w:val="003366"/>
          <w:sz w:val="32"/>
        </w:rPr>
        <w:t>6. Products Manufactured by Tata Motors</w:t>
      </w:r>
    </w:p>
    <w:p>
      <w:pPr>
        <w:spacing w:line="288" w:lineRule="auto" w:after="160"/>
      </w:pPr>
      <w:r>
        <w:rPr>
          <w:rFonts w:ascii="Calibri" w:hAnsi="Calibri" w:eastAsia="Calibri"/>
          <w:b w:val="0"/>
          <w:sz w:val="22"/>
        </w:rPr>
        <w:t>Tata Motors has developed a wide range of vehicles for individual customers, businesses, and public transport operators.</w:t>
      </w:r>
    </w:p>
    <w:tbl>
      <w:tblPr>
        <w:tblW w:type="auto" w:w="0"/>
        <w:tblLayout w:type="fixed"/>
        <w:tblLook w:firstColumn="1" w:firstRow="1" w:lastColumn="0" w:lastRow="0" w:noHBand="0" w:noVBand="1" w:val="04A0"/>
      </w:tblPr>
      <w:tblGrid>
        <w:gridCol w:w="3744"/>
        <w:gridCol w:w="5472"/>
      </w:tblGrid>
      <w:tr>
        <w:tc>
          <w:tcPr>
            <w:tcW w:type="dxa" w:w="4680"/>
          </w:tcPr>
          <w:p>
            <w:pPr>
              <w:jc w:val="center"/>
            </w:pPr>
            <w:r>
              <w:drawing>
                <wp:inline xmlns:a="http://schemas.openxmlformats.org/drawingml/2006/main" xmlns:pic="http://schemas.openxmlformats.org/drawingml/2006/picture">
                  <wp:extent cx="2194560" cy="700460"/>
                  <wp:docPr id="8" name="Picture 8"/>
                  <wp:cNvGraphicFramePr>
                    <a:graphicFrameLocks noChangeAspect="1"/>
                  </wp:cNvGraphicFramePr>
                  <a:graphic>
                    <a:graphicData uri="http://schemas.openxmlformats.org/drawingml/2006/picture">
                      <pic:pic>
                        <pic:nvPicPr>
                          <pic:cNvPr id="0" name="product_passenger_suv.jpg"/>
                          <pic:cNvPicPr/>
                        </pic:nvPicPr>
                        <pic:blipFill>
                          <a:blip r:embed="rId16"/>
                          <a:stretch>
                            <a:fillRect/>
                          </a:stretch>
                        </pic:blipFill>
                        <pic:spPr>
                          <a:xfrm>
                            <a:off x="0" y="0"/>
                            <a:ext cx="2194560" cy="700460"/>
                          </a:xfrm>
                          <a:prstGeom prst="rect"/>
                        </pic:spPr>
                      </pic:pic>
                    </a:graphicData>
                  </a:graphic>
                </wp:inline>
              </w:drawing>
            </w:r>
          </w:p>
        </w:tc>
        <w:tc>
          <w:tcPr>
            <w:tcW w:type="dxa" w:w="4680"/>
          </w:tcPr>
          <w:p>
            <w:r>
              <w:rPr>
                <w:rFonts w:ascii="Calibri" w:hAnsi="Calibri" w:eastAsia="Calibri"/>
                <w:b/>
                <w:color w:val="1F4E79"/>
                <w:sz w:val="22"/>
              </w:rPr>
              <w:t>6.1 Passenger cars and SUVs</w:t>
              <w:br/>
            </w:r>
            <w:r>
              <w:rPr>
                <w:rFonts w:ascii="Calibri" w:hAnsi="Calibri" w:eastAsia="Calibri"/>
                <w:b w:val="0"/>
                <w:sz w:val="22"/>
              </w:rPr>
              <w:t>Designed for personal and family transport. Examples: Tiago, Altroz, Tigor, Punch, Nexon, Harrier, Safari, and Curvv.</w:t>
            </w:r>
          </w:p>
        </w:tc>
      </w:tr>
    </w:tbl>
    <w:p/>
    <w:tbl>
      <w:tblPr>
        <w:tblW w:type="auto" w:w="0"/>
        <w:tblLayout w:type="fixed"/>
        <w:tblLook w:firstColumn="1" w:firstRow="1" w:lastColumn="0" w:lastRow="0" w:noHBand="0" w:noVBand="1" w:val="04A0"/>
      </w:tblPr>
      <w:tblGrid>
        <w:gridCol w:w="3744"/>
        <w:gridCol w:w="5472"/>
      </w:tblGrid>
      <w:tr>
        <w:tc>
          <w:tcPr>
            <w:tcW w:type="dxa" w:w="4680"/>
          </w:tcPr>
          <w:p>
            <w:pPr>
              <w:jc w:val="center"/>
            </w:pPr>
            <w:r>
              <w:drawing>
                <wp:inline xmlns:a="http://schemas.openxmlformats.org/drawingml/2006/main" xmlns:pic="http://schemas.openxmlformats.org/drawingml/2006/picture">
                  <wp:extent cx="2194560" cy="628850"/>
                  <wp:docPr id="9" name="Picture 9"/>
                  <wp:cNvGraphicFramePr>
                    <a:graphicFrameLocks noChangeAspect="1"/>
                  </wp:cNvGraphicFramePr>
                  <a:graphic>
                    <a:graphicData uri="http://schemas.openxmlformats.org/drawingml/2006/picture">
                      <pic:pic>
                        <pic:nvPicPr>
                          <pic:cNvPr id="0" name="product_ev.jpg"/>
                          <pic:cNvPicPr/>
                        </pic:nvPicPr>
                        <pic:blipFill>
                          <a:blip r:embed="rId17"/>
                          <a:stretch>
                            <a:fillRect/>
                          </a:stretch>
                        </pic:blipFill>
                        <pic:spPr>
                          <a:xfrm>
                            <a:off x="0" y="0"/>
                            <a:ext cx="2194560" cy="628850"/>
                          </a:xfrm>
                          <a:prstGeom prst="rect"/>
                        </pic:spPr>
                      </pic:pic>
                    </a:graphicData>
                  </a:graphic>
                </wp:inline>
              </w:drawing>
            </w:r>
          </w:p>
        </w:tc>
        <w:tc>
          <w:tcPr>
            <w:tcW w:type="dxa" w:w="4680"/>
          </w:tcPr>
          <w:p>
            <w:r>
              <w:rPr>
                <w:rFonts w:ascii="Calibri" w:hAnsi="Calibri" w:eastAsia="Calibri"/>
                <w:b/>
                <w:color w:val="1F4E79"/>
                <w:sz w:val="22"/>
              </w:rPr>
              <w:t>6.2 Electric vehicles</w:t>
              <w:br/>
            </w:r>
            <w:r>
              <w:rPr>
                <w:rFonts w:ascii="Calibri" w:hAnsi="Calibri" w:eastAsia="Calibri"/>
                <w:b w:val="0"/>
                <w:sz w:val="22"/>
              </w:rPr>
              <w:t>Battery-electric models such as Nexon EV, Tiago EV, Punch EV, and Tigor EV support lower emissions and sustainable mobility.</w:t>
            </w:r>
          </w:p>
        </w:tc>
      </w:tr>
    </w:tbl>
    <w:p/>
    <w:tbl>
      <w:tblPr>
        <w:tblW w:type="auto" w:w="0"/>
        <w:tblLayout w:type="fixed"/>
        <w:tblLook w:firstColumn="1" w:firstRow="1" w:lastColumn="0" w:lastRow="0" w:noHBand="0" w:noVBand="1" w:val="04A0"/>
      </w:tblPr>
      <w:tblGrid>
        <w:gridCol w:w="3744"/>
        <w:gridCol w:w="5472"/>
      </w:tblGrid>
      <w:tr>
        <w:tc>
          <w:tcPr>
            <w:tcW w:type="dxa" w:w="4680"/>
          </w:tcPr>
          <w:p>
            <w:pPr>
              <w:jc w:val="center"/>
            </w:pPr>
            <w:r>
              <w:drawing>
                <wp:inline xmlns:a="http://schemas.openxmlformats.org/drawingml/2006/main" xmlns:pic="http://schemas.openxmlformats.org/drawingml/2006/picture">
                  <wp:extent cx="2194560" cy="667777"/>
                  <wp:docPr id="10" name="Picture 10"/>
                  <wp:cNvGraphicFramePr>
                    <a:graphicFrameLocks noChangeAspect="1"/>
                  </wp:cNvGraphicFramePr>
                  <a:graphic>
                    <a:graphicData uri="http://schemas.openxmlformats.org/drawingml/2006/picture">
                      <pic:pic>
                        <pic:nvPicPr>
                          <pic:cNvPr id="0" name="product_truck.jpg"/>
                          <pic:cNvPicPr/>
                        </pic:nvPicPr>
                        <pic:blipFill>
                          <a:blip r:embed="rId18"/>
                          <a:stretch>
                            <a:fillRect/>
                          </a:stretch>
                        </pic:blipFill>
                        <pic:spPr>
                          <a:xfrm>
                            <a:off x="0" y="0"/>
                            <a:ext cx="2194560" cy="667777"/>
                          </a:xfrm>
                          <a:prstGeom prst="rect"/>
                        </pic:spPr>
                      </pic:pic>
                    </a:graphicData>
                  </a:graphic>
                </wp:inline>
              </w:drawing>
            </w:r>
          </w:p>
        </w:tc>
        <w:tc>
          <w:tcPr>
            <w:tcW w:type="dxa" w:w="4680"/>
          </w:tcPr>
          <w:p>
            <w:r>
              <w:rPr>
                <w:rFonts w:ascii="Calibri" w:hAnsi="Calibri" w:eastAsia="Calibri"/>
                <w:b/>
                <w:color w:val="1F4E79"/>
                <w:sz w:val="22"/>
              </w:rPr>
              <w:t>6.3 Commercial trucks</w:t>
              <w:br/>
            </w:r>
            <w:r>
              <w:rPr>
                <w:rFonts w:ascii="Calibri" w:hAnsi="Calibri" w:eastAsia="Calibri"/>
                <w:b w:val="0"/>
                <w:sz w:val="22"/>
              </w:rPr>
              <w:t>Used for goods movement across industries. Examples include Prima, Signa, Ultra, and Intra families.</w:t>
            </w:r>
          </w:p>
        </w:tc>
      </w:tr>
    </w:tbl>
    <w:p/>
    <w:tbl>
      <w:tblPr>
        <w:tblW w:type="auto" w:w="0"/>
        <w:tblLayout w:type="fixed"/>
        <w:tblLook w:firstColumn="1" w:firstRow="1" w:lastColumn="0" w:lastRow="0" w:noHBand="0" w:noVBand="1" w:val="04A0"/>
      </w:tblPr>
      <w:tblGrid>
        <w:gridCol w:w="3744"/>
        <w:gridCol w:w="5472"/>
      </w:tblGrid>
      <w:tr>
        <w:tc>
          <w:tcPr>
            <w:tcW w:type="dxa" w:w="4680"/>
          </w:tcPr>
          <w:p>
            <w:pPr>
              <w:jc w:val="center"/>
            </w:pPr>
            <w:r>
              <w:drawing>
                <wp:inline xmlns:a="http://schemas.openxmlformats.org/drawingml/2006/main" xmlns:pic="http://schemas.openxmlformats.org/drawingml/2006/picture">
                  <wp:extent cx="2194560" cy="673823"/>
                  <wp:docPr id="11" name="Picture 11"/>
                  <wp:cNvGraphicFramePr>
                    <a:graphicFrameLocks noChangeAspect="1"/>
                  </wp:cNvGraphicFramePr>
                  <a:graphic>
                    <a:graphicData uri="http://schemas.openxmlformats.org/drawingml/2006/picture">
                      <pic:pic>
                        <pic:nvPicPr>
                          <pic:cNvPr id="0" name="product_bus.jpg"/>
                          <pic:cNvPicPr/>
                        </pic:nvPicPr>
                        <pic:blipFill>
                          <a:blip r:embed="rId19"/>
                          <a:stretch>
                            <a:fillRect/>
                          </a:stretch>
                        </pic:blipFill>
                        <pic:spPr>
                          <a:xfrm>
                            <a:off x="0" y="0"/>
                            <a:ext cx="2194560" cy="673823"/>
                          </a:xfrm>
                          <a:prstGeom prst="rect"/>
                        </pic:spPr>
                      </pic:pic>
                    </a:graphicData>
                  </a:graphic>
                </wp:inline>
              </w:drawing>
            </w:r>
          </w:p>
        </w:tc>
        <w:tc>
          <w:tcPr>
            <w:tcW w:type="dxa" w:w="4680"/>
          </w:tcPr>
          <w:p>
            <w:r>
              <w:rPr>
                <w:rFonts w:ascii="Calibri" w:hAnsi="Calibri" w:eastAsia="Calibri"/>
                <w:b/>
                <w:color w:val="1F4E79"/>
                <w:sz w:val="22"/>
              </w:rPr>
              <w:t>6.4 Buses and passenger transport</w:t>
              <w:br/>
            </w:r>
            <w:r>
              <w:rPr>
                <w:rFonts w:ascii="Calibri" w:hAnsi="Calibri" w:eastAsia="Calibri"/>
                <w:b w:val="0"/>
                <w:sz w:val="22"/>
              </w:rPr>
              <w:t>Buses for city, school, staff, and intercity transport, including electric bus solutions.</w:t>
            </w:r>
          </w:p>
        </w:tc>
      </w:tr>
    </w:tbl>
    <w:p/>
    <w:p>
      <w:pPr>
        <w:spacing w:before="200" w:after="120"/>
      </w:pPr>
      <w:r>
        <w:rPr>
          <w:rFonts w:ascii="Calibri" w:hAnsi="Calibri" w:eastAsia="Calibri"/>
          <w:b/>
          <w:color w:val="003366"/>
          <w:sz w:val="26"/>
        </w:rPr>
        <w:t>6.5 Relevance for ECE internship</w:t>
      </w:r>
    </w:p>
    <w:p>
      <w:pPr>
        <w:spacing w:line="288" w:lineRule="auto" w:after="160"/>
      </w:pPr>
      <w:r>
        <w:rPr>
          <w:rFonts w:ascii="Calibri" w:hAnsi="Calibri" w:eastAsia="Calibri"/>
          <w:b w:val="0"/>
          <w:sz w:val="22"/>
        </w:rPr>
        <w:t>Electronics and Communication Engineering students may learn about wiring harnesses, ECU diagnostics, earthing and safety checks, BMS basics on EV lines, PLC automation, and end-of-line electrical testing during authorised plant training (e.g., Pune, Sanand, Jamshedpur).</w:t>
      </w:r>
    </w:p>
    <w:p>
      <w:pPr>
        <w:spacing w:before="200" w:after="120"/>
      </w:pPr>
      <w:r>
        <w:rPr>
          <w:rFonts w:ascii="Calibri" w:hAnsi="Calibri" w:eastAsia="Calibri"/>
          <w:b/>
          <w:color w:val="003366"/>
          <w:sz w:val="32"/>
        </w:rPr>
        <w:t>7. Challenges and Future Opportunities</w:t>
      </w:r>
    </w:p>
    <w:p>
      <w:pPr>
        <w:jc w:val="center"/>
      </w:pPr>
      <w:r>
        <w:drawing>
          <wp:inline xmlns:a="http://schemas.openxmlformats.org/drawingml/2006/main" xmlns:pic="http://schemas.openxmlformats.org/drawingml/2006/picture">
            <wp:extent cx="5029200" cy="1436914"/>
            <wp:docPr id="12" name="Picture 12"/>
            <wp:cNvGraphicFramePr>
              <a:graphicFrameLocks noChangeAspect="1"/>
            </wp:cNvGraphicFramePr>
            <a:graphic>
              <a:graphicData uri="http://schemas.openxmlformats.org/drawingml/2006/picture">
                <pic:pic>
                  <pic:nvPicPr>
                    <pic:cNvPr id="0" name="photo_future_mobility.jpg"/>
                    <pic:cNvPicPr/>
                  </pic:nvPicPr>
                  <pic:blipFill>
                    <a:blip r:embed="rId20"/>
                    <a:stretch>
                      <a:fillRect/>
                    </a:stretch>
                  </pic:blipFill>
                  <pic:spPr>
                    <a:xfrm>
                      <a:off x="0" y="0"/>
                      <a:ext cx="5029200" cy="1436914"/>
                    </a:xfrm>
                    <a:prstGeom prst="rect"/>
                  </pic:spPr>
                </pic:pic>
              </a:graphicData>
            </a:graphic>
          </wp:inline>
        </w:drawing>
      </w:r>
    </w:p>
    <w:p>
      <w:pPr>
        <w:pStyle w:val="ListBullet"/>
      </w:pPr>
      <w:r>
        <w:rPr>
          <w:rFonts w:ascii="Calibri" w:hAnsi="Calibri" w:eastAsia="Calibri"/>
          <w:b w:val="0"/>
          <w:sz w:val="22"/>
        </w:rPr>
        <w:t>Competition and pricing: balance features, affordability, and profitability.</w:t>
      </w:r>
    </w:p>
    <w:p>
      <w:pPr>
        <w:pStyle w:val="ListBullet"/>
      </w:pPr>
      <w:r>
        <w:rPr>
          <w:rFonts w:ascii="Calibri" w:hAnsi="Calibri" w:eastAsia="Calibri"/>
          <w:b w:val="0"/>
          <w:sz w:val="22"/>
        </w:rPr>
        <w:t>Supply chain resilience: semiconductors, batteries, and critical components.</w:t>
      </w:r>
    </w:p>
    <w:p>
      <w:pPr>
        <w:pStyle w:val="ListBullet"/>
      </w:pPr>
      <w:r>
        <w:rPr>
          <w:rFonts w:ascii="Calibri" w:hAnsi="Calibri" w:eastAsia="Calibri"/>
          <w:b w:val="0"/>
          <w:sz w:val="22"/>
        </w:rPr>
        <w:t>Quality and reliability: reduce defects, rework, and warranty costs.</w:t>
      </w:r>
    </w:p>
    <w:p>
      <w:pPr>
        <w:pStyle w:val="ListBullet"/>
      </w:pPr>
      <w:r>
        <w:rPr>
          <w:rFonts w:ascii="Calibri" w:hAnsi="Calibri" w:eastAsia="Calibri"/>
          <w:b w:val="0"/>
          <w:sz w:val="22"/>
        </w:rPr>
        <w:t>Electrification: charging infrastructure, battery cost, and customer confidence.</w:t>
      </w:r>
    </w:p>
    <w:p>
      <w:pPr>
        <w:pStyle w:val="ListBullet"/>
      </w:pPr>
      <w:r>
        <w:rPr>
          <w:rFonts w:ascii="Calibri" w:hAnsi="Calibri" w:eastAsia="Calibri"/>
          <w:b w:val="0"/>
          <w:sz w:val="22"/>
        </w:rPr>
        <w:t>Sustainability and compliance: safety and emission regulations.</w:t>
      </w:r>
    </w:p>
    <w:p>
      <w:pPr>
        <w:pStyle w:val="ListBullet"/>
      </w:pPr>
      <w:r>
        <w:rPr>
          <w:rFonts w:ascii="Calibri" w:hAnsi="Calibri" w:eastAsia="Calibri"/>
          <w:b w:val="0"/>
          <w:sz w:val="22"/>
        </w:rPr>
        <w:t>Opportunities: R&amp;D, digitalisation, energy efficiency, and battery recycling.</w:t>
      </w:r>
    </w:p>
    <w:p>
      <w:pPr>
        <w:spacing w:before="200" w:after="120"/>
      </w:pPr>
      <w:r>
        <w:rPr>
          <w:rFonts w:ascii="Calibri" w:hAnsi="Calibri" w:eastAsia="Calibri"/>
          <w:b/>
          <w:color w:val="003366"/>
          <w:sz w:val="32"/>
        </w:rPr>
        <w:t>8. Research Methodology</w:t>
      </w:r>
    </w:p>
    <w:p>
      <w:pPr>
        <w:spacing w:line="288" w:lineRule="auto" w:after="160"/>
      </w:pPr>
      <w:r>
        <w:rPr>
          <w:rFonts w:ascii="Calibri" w:hAnsi="Calibri" w:eastAsia="Calibri"/>
          <w:b w:val="0"/>
          <w:sz w:val="22"/>
        </w:rPr>
        <w:t>Descriptive, document-based research using Tata Motors annual reports, investor presentations, official website, and automotive industry publications.</w:t>
      </w:r>
    </w:p>
    <w:p>
      <w:pPr>
        <w:pStyle w:val="ListBullet"/>
      </w:pPr>
      <w:r>
        <w:rPr>
          <w:rFonts w:ascii="Calibri" w:hAnsi="Calibri" w:eastAsia="Calibri"/>
          <w:b w:val="0"/>
          <w:sz w:val="22"/>
        </w:rPr>
        <w:t>Secondary data: company reports, catalogues, government publications.</w:t>
      </w:r>
    </w:p>
    <w:p>
      <w:pPr>
        <w:pStyle w:val="ListBullet"/>
      </w:pPr>
      <w:r>
        <w:rPr>
          <w:rFonts w:ascii="Calibri" w:hAnsi="Calibri" w:eastAsia="Calibri"/>
          <w:b w:val="0"/>
          <w:sz w:val="22"/>
        </w:rPr>
        <w:t>Primary data (if performed): authorised plant visit and supervised discussions.</w:t>
      </w:r>
    </w:p>
    <w:p>
      <w:pPr>
        <w:pStyle w:val="ListBullet"/>
      </w:pPr>
      <w:r>
        <w:rPr>
          <w:rFonts w:ascii="Calibri" w:hAnsi="Calibri" w:eastAsia="Calibri"/>
          <w:b w:val="0"/>
          <w:sz w:val="22"/>
        </w:rPr>
        <w:t>Analysis: historical, descriptive, and thematic grouping.</w:t>
      </w:r>
    </w:p>
    <w:p>
      <w:pPr>
        <w:pStyle w:val="ListBullet"/>
      </w:pPr>
      <w:r>
        <w:rPr>
          <w:rFonts w:ascii="Calibri" w:hAnsi="Calibri" w:eastAsia="Calibri"/>
          <w:b w:val="0"/>
          <w:sz w:val="22"/>
        </w:rPr>
        <w:t>Limitations: confidential plant data is not publicly available.</w:t>
      </w:r>
    </w:p>
    <w:p>
      <w:pPr>
        <w:spacing w:before="200" w:after="120"/>
      </w:pPr>
      <w:r>
        <w:rPr>
          <w:rFonts w:ascii="Calibri" w:hAnsi="Calibri" w:eastAsia="Calibri"/>
          <w:b/>
          <w:color w:val="003366"/>
          <w:sz w:val="32"/>
        </w:rPr>
        <w:t>9. Conclusion</w:t>
      </w:r>
    </w:p>
    <w:p>
      <w:pPr>
        <w:spacing w:line="288" w:lineRule="auto" w:after="160"/>
      </w:pPr>
      <w:r>
        <w:rPr>
          <w:rFonts w:ascii="Calibri" w:hAnsi="Calibri" w:eastAsia="Calibri"/>
          <w:b w:val="0"/>
          <w:sz w:val="22"/>
        </w:rPr>
        <w:t>Tata Motors is a leading Indian automotive company with strong commercial and passenger portfolios, growing electric mobility, and global presence through JLR. Its manufacturing systems and electronics integration make it a valuable organisation for diploma internship and industrial learning.</w:t>
      </w:r>
    </w:p>
    <w:p>
      <w:pPr>
        <w:spacing w:before="200" w:after="120"/>
      </w:pPr>
      <w:r>
        <w:rPr>
          <w:rFonts w:ascii="Calibri" w:hAnsi="Calibri" w:eastAsia="Calibri"/>
          <w:b/>
          <w:color w:val="003366"/>
          <w:sz w:val="32"/>
        </w:rPr>
        <w:t>References</w:t>
      </w:r>
    </w:p>
    <w:p>
      <w:pPr>
        <w:pStyle w:val="ListBullet"/>
      </w:pPr>
      <w:r>
        <w:rPr>
          <w:rFonts w:ascii="Calibri" w:hAnsi="Calibri" w:eastAsia="Calibri"/>
          <w:b w:val="0"/>
          <w:sz w:val="22"/>
        </w:rPr>
        <w:t>Tata Motors Integrated Annual Report 2024–25.</w:t>
      </w:r>
    </w:p>
    <w:p>
      <w:pPr>
        <w:pStyle w:val="ListBullet"/>
      </w:pPr>
      <w:r>
        <w:rPr>
          <w:rFonts w:ascii="Calibri" w:hAnsi="Calibri" w:eastAsia="Calibri"/>
          <w:b w:val="0"/>
          <w:sz w:val="22"/>
        </w:rPr>
        <w:t>Tata Motors investor presentations and press releases (FY25).</w:t>
      </w:r>
    </w:p>
    <w:p>
      <w:pPr>
        <w:pStyle w:val="ListBullet"/>
      </w:pPr>
      <w:r>
        <w:rPr>
          <w:rFonts w:ascii="Calibri" w:hAnsi="Calibri" w:eastAsia="Calibri"/>
          <w:b w:val="0"/>
          <w:sz w:val="22"/>
        </w:rPr>
        <w:t>https://www.tatamotors.com</w:t>
      </w:r>
    </w:p>
    <w:p>
      <w:pPr>
        <w:pStyle w:val="ListBullet"/>
      </w:pPr>
      <w:r>
        <w:rPr>
          <w:rFonts w:ascii="Calibri" w:hAnsi="Calibri" w:eastAsia="Calibri"/>
          <w:b w:val="0"/>
          <w:sz w:val="22"/>
        </w:rPr>
        <w:t>https://joinus.tatamotors.com/student-programmes/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