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6B7280"/>
          <w:sz w:val="28"/>
          <w:szCs w:val="28"/>
        </w:rPr>
        <w:t xml:space="preserve">PRODUCT REQUIREMENTS DOCUMENT</w:t>
      </w:r>
    </w:p>
    <w:p>
      <w:pPr>
        <w:spacing w:after="200"/>
        <w:jc w:val="center"/>
      </w:pPr>
      <w:r>
        <w:rPr>
          <w:b/>
          <w:bCs/>
          <w:sz w:val="56"/>
          <w:szCs w:val="56"/>
        </w:rPr>
        <w:t xml:space="preserve">RingBreaker</w:t>
      </w:r>
    </w:p>
    <w:p>
      <w:pPr>
        <w:spacing w:after="400"/>
        <w:jc w:val="center"/>
      </w:pPr>
      <w:r>
        <w:rPr>
          <w:i/>
          <w:iCs/>
          <w:sz w:val="26"/>
          <w:szCs w:val="26"/>
        </w:rPr>
        <w:t xml:space="preserve">AI-Powered Fraud Ring Detection &amp; Case Resolution Engine</w:t>
      </w:r>
    </w:p>
    <w:p>
      <w:pPr>
        <w:spacing w:after="100"/>
        <w:jc w:val="center"/>
      </w:pPr>
      <w:r>
        <w:rPr>
          <w:sz w:val="22"/>
          <w:szCs w:val="22"/>
        </w:rPr>
        <w:t xml:space="preserve">ET AI Hackathon 2026 · Round 2 Prototype · Problem Statement 6 — AI for Digital Public Safety</w:t>
      </w:r>
    </w:p>
    <w:p>
      <w:pPr>
        <w:spacing w:after="100"/>
        <w:jc w:val="center"/>
      </w:pPr>
      <w:r>
        <w:rPr>
          <w:sz w:val="22"/>
          <w:szCs w:val="22"/>
        </w:rPr>
        <w:t xml:space="preserve">Version 2.0 (Final, Smart-Matching Design) · Build window: 3 days</w:t>
      </w:r>
    </w:p>
    <w:p>
      <w:pPr>
        <w:spacing w:after="800"/>
        <w:jc w:val="center"/>
      </w:pPr>
      <w:r>
        <w:rPr>
          <w:color w:val="6B7280"/>
          <w:sz w:val="20"/>
          <w:szCs w:val="20"/>
        </w:rPr>
        <w:t xml:space="preserve">Prepared for: deck creation + Antigravity end-to-end build</w:t>
      </w:r>
    </w:p>
    <w:p>
      <w:pPr>
        <w:pStyle w:val="Heading3"/>
        <w:spacing w:after="100" w:before="200"/>
      </w:pPr>
      <w:r>
        <w:t xml:space="preserve">Document contents</w:t>
      </w:r>
    </w:p>
    <w:p>
      <w:pPr>
        <w:pStyle w:val="ListParagraph"/>
        <w:numPr>
          <w:ilvl w:val="0"/>
          <w:numId w:val="1"/>
        </w:numPr>
        <w:spacing w:after="80"/>
      </w:pPr>
      <w:r>
        <w:t xml:space="preserve">Part A — Product Requirements Document</w:t>
      </w:r>
    </w:p>
    <w:p>
      <w:pPr>
        <w:pStyle w:val="ListParagraph"/>
        <w:numPr>
          <w:ilvl w:val="0"/>
          <w:numId w:val="1"/>
        </w:numPr>
        <w:spacing w:after="80"/>
      </w:pPr>
      <w:r>
        <w:t xml:space="preserve">Part B — Step-by-Step Development Guide (hour-by-hour, 3 days)</w:t>
      </w:r>
    </w:p>
    <w:p>
      <w:pPr>
        <w:pStyle w:val="ListParagraph"/>
        <w:numPr>
          <w:ilvl w:val="0"/>
          <w:numId w:val="1"/>
        </w:numPr>
        <w:spacing w:after="80"/>
      </w:pPr>
      <w:r>
        <w:t xml:space="preserve">Part C — Deployment Guide</w:t>
      </w:r>
    </w:p>
    <w:p>
      <w:pPr>
        <w:pStyle w:val="ListParagraph"/>
        <w:numPr>
          <w:ilvl w:val="0"/>
          <w:numId w:val="1"/>
        </w:numPr>
        <w:spacing w:after="80"/>
      </w:pPr>
      <w:r>
        <w:t xml:space="preserve">Part D — Antigravity Build Prompt (also provided as a standalone file)</w:t>
      </w:r>
    </w:p>
    <w:p>
      <w:r>
        <w:br w:type="page"/>
      </w:r>
    </w:p>
    <w:p>
      <w:pPr>
        <w:pStyle w:val="Heading1"/>
        <w:spacing w:after="200" w:before="400"/>
      </w:pPr>
      <w:r>
        <w:t xml:space="preserve">PART A — PRODUCT REQUIREMENTS DOCUMENT</w:t>
      </w:r>
    </w:p>
    <w:p>
      <w:pPr>
        <w:pStyle w:val="Heading2"/>
        <w:spacing w:after="150" w:before="300"/>
      </w:pPr>
      <w:r>
        <w:t xml:space="preserve">1. Executive Summary</w:t>
      </w:r>
    </w:p>
    <w:p>
      <w:pPr>
        <w:spacing w:after="150"/>
      </w:pPr>
      <w:r>
        <w:t xml:space="preserve">RingBreaker is a fraud-ring detection and case-resolution tool built for fraud operations analysts at banks and fintechs. It ingests individual fraud complaints — a scam call transcript, raw transaction details, or both — and determines whether that complaint is part of a larger, coordinated fraud ring, even when the ring deliberately avoids reusing hard identifiers like phone numbers, UPI IDs, or devices.</w:t>
      </w:r>
    </w:p>
    <w:p>
      <w:pPr>
        <w:spacing w:after="150"/>
      </w:pPr>
      <w:r>
        <w:t xml:space="preserve">The system's core differentiator is that it does not rely on exact-match lookups alone (a rule a database JOIN could already perform). It combines three signal types — exact identifier overlap, scam-script similarity via text embeddings, and behavioral proximity (timing, amount, geography) — into a single weighted evidence score between any two cases, clusters cases on that combined score, and uses an LLM reasoning step to justify a concrete recommendation: freeze, monitor, or no action. The output is a structured case report an analyst can act on or hand off to compliance and law enforcement within seconds of a new complaint arriving.</w:t>
      </w:r>
    </w:p>
    <w:p>
      <w:pPr>
        <w:spacing w:after="150"/>
      </w:pPr>
      <w:r>
        <w:t xml:space="preserve">This is the final, defensible design after two deliberate pivots: (1) from a generic multi-feature PS6 build down to one coherent pipeline, and (2) from hardcoded identifier-matching to weighted, embedding-based, unsupervised evidence fusion — specifically because sophisticated fraud rings rotate identifiers to evade exact-match detection, and a real solution has to catch that.</w:t>
      </w:r>
    </w:p>
    <w:p>
      <w:pPr>
        <w:pStyle w:val="Heading2"/>
        <w:spacing w:after="150" w:before="300"/>
      </w:pPr>
      <w:r>
        <w:t xml:space="preserve">2. Problem Statement &amp; Market Context</w:t>
      </w:r>
    </w:p>
    <w:p>
      <w:pPr>
        <w:spacing w:after="150"/>
      </w:pPr>
      <w:r>
        <w:t xml:space="preserve">India recorded 1.14 million cybercrime complaints in 2023, up 60% year-on-year. Digital arrest scams alone defrauded citizens of over ₹1,776 crore in the first nine months of 2024, run by industrialised operations using spoofed numbers, AI-generated voices, and fake government portals. RBI's 2025 Annual Report also flagged record counterfeit currency seizures. The Problem Statement explicitly frames the goal as shifting law enforcement and financial institutions “from reactive case investigation to predictive threat neutralisation.”</w:t>
      </w:r>
    </w:p>
    <w:p>
      <w:pPr>
        <w:spacing w:after="150"/>
      </w:pPr>
      <w:r>
        <w:t xml:space="preserve">Today, fraud operations teams at banks and fintechs investigate complaints one at a time. There is no routine mechanism to notice that complaint #482 and complaint #519, filed three weeks apart by customers who have never met, are actually the same ring — especially once that ring is smart enough to use a different phone number, UPI ID, and device for every victim. Existing fraud/AML tooling (e.g. rule engines, Actimize/Feedzai-style systems) already does exact-identifier linking; that alone is not innovation, and it is blind to any ring that deliberately rotates identifiers, which the dangerous ones do.</w:t>
      </w:r>
    </w:p>
    <w:p>
      <w:pPr>
        <w:spacing w:after="150"/>
      </w:pPr>
      <w:r>
        <w:rPr>
          <w:b/>
          <w:bCs/>
        </w:rPr>
        <w:t xml:space="preserve">Core insight: </w:t>
      </w:r>
      <w:r>
        <w:t xml:space="preserve">The value is not in matching cases that share a data field. It is in matching cases that share a method — the same script, the same operating pattern — even when every hard identifier has been deliberately changed.</w:t>
      </w:r>
    </w:p>
    <w:p>
      <w:pPr>
        <w:pStyle w:val="Heading2"/>
        <w:spacing w:after="150" w:before="300"/>
      </w:pPr>
      <w:r>
        <w:t xml:space="preserve">3. Product Vision &amp; Positioning</w:t>
      </w:r>
    </w:p>
    <w:p>
      <w:pPr>
        <w:spacing w:after="150"/>
      </w:pPr>
      <w:r>
        <w:t xml:space="preserve">RingBreaker is an internal decision-support tool for fraud operations teams — not a citizen-facing product, not a law-enforcement command centre, not a real-time bank/telecom integration, and not a legal-evidence system. It sits between complaint intake and the analyst's decision, doing evidence-fusion and pattern-matching work that a human could eventually do manually, but far more slowly, and only on the fraction of cases they happen to remember or think to cross-check.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F2937" w:val="clear"/>
            <w:tcMar>
              <w:top w:type="dxa" w:w="80"/>
              <w:left w:type="dxa" w:w="100"/>
              <w:bottom w:type="dxa" w:w="80"/>
              <w:right w:type="dxa" w:w="100"/>
            </w:tcMar>
          </w:tcPr>
          <w:p>
            <w:r>
              <w:rPr>
                <w:b/>
                <w:bCs/>
                <w:color w:val="FFFFFF"/>
                <w:sz w:val="20"/>
                <w:szCs w:val="20"/>
              </w:rPr>
              <w:t xml:space="preserve">What it is</w:t>
            </w:r>
          </w:p>
        </w:tc>
        <w:tc>
          <w:tcPr>
            <w:tcW w:type="dxa" w:w="4500"/>
            <w:shd w:fill="1F2937" w:val="clear"/>
            <w:tcMar>
              <w:top w:type="dxa" w:w="80"/>
              <w:left w:type="dxa" w:w="100"/>
              <w:bottom w:type="dxa" w:w="80"/>
              <w:right w:type="dxa" w:w="100"/>
            </w:tcMar>
          </w:tcPr>
          <w:p>
            <w:r>
              <w:rPr>
                <w:b/>
                <w:bCs/>
                <w:color w:val="FFFFFF"/>
                <w:sz w:val="20"/>
                <w:szCs w:val="20"/>
              </w:rPr>
              <w:t xml:space="preserve">What it is not</w:t>
            </w:r>
          </w:p>
        </w:tc>
      </w:tr>
      <w:tr>
        <w:tc>
          <w:tcPr>
            <w:tcW w:type="dxa" w:w="4500"/>
            <w:tcMar>
              <w:top w:type="dxa" w:w="80"/>
              <w:left w:type="dxa" w:w="100"/>
              <w:bottom w:type="dxa" w:w="80"/>
              <w:right w:type="dxa" w:w="100"/>
            </w:tcMar>
          </w:tcPr>
          <w:p>
            <w:r>
              <w:rPr>
                <w:b w:val="false"/>
                <w:bCs w:val="false"/>
                <w:color w:val="000000"/>
                <w:sz w:val="20"/>
                <w:szCs w:val="20"/>
              </w:rPr>
              <w:t xml:space="preserve">A case-linking engine that fuses hard and soft evidence into a continuous score</w:t>
            </w:r>
          </w:p>
        </w:tc>
        <w:tc>
          <w:tcPr>
            <w:tcW w:type="dxa" w:w="4500"/>
            <w:tcMar>
              <w:top w:type="dxa" w:w="80"/>
              <w:left w:type="dxa" w:w="100"/>
              <w:bottom w:type="dxa" w:w="80"/>
              <w:right w:type="dxa" w:w="100"/>
            </w:tcMar>
          </w:tcPr>
          <w:p>
            <w:r>
              <w:rPr>
                <w:b w:val="false"/>
                <w:bCs w:val="false"/>
                <w:color w:val="000000"/>
                <w:sz w:val="20"/>
                <w:szCs w:val="20"/>
              </w:rPr>
              <w:t xml:space="preserve">A citizen-facing chatbot or fraud-reporting app</w:t>
            </w:r>
          </w:p>
        </w:tc>
      </w:tr>
      <w:tr>
        <w:tc>
          <w:tcPr>
            <w:tcW w:type="dxa" w:w="4500"/>
            <w:tcMar>
              <w:top w:type="dxa" w:w="80"/>
              <w:left w:type="dxa" w:w="100"/>
              <w:bottom w:type="dxa" w:w="80"/>
              <w:right w:type="dxa" w:w="100"/>
            </w:tcMar>
          </w:tcPr>
          <w:p>
            <w:r>
              <w:rPr>
                <w:b w:val="false"/>
                <w:bCs w:val="false"/>
                <w:color w:val="000000"/>
                <w:sz w:val="20"/>
                <w:szCs w:val="20"/>
              </w:rPr>
              <w:t xml:space="preserve">A ring-detection layer using unsupervised clustering, not fixed rules</w:t>
            </w:r>
          </w:p>
        </w:tc>
        <w:tc>
          <w:tcPr>
            <w:tcW w:type="dxa" w:w="4500"/>
            <w:tcMar>
              <w:top w:type="dxa" w:w="80"/>
              <w:left w:type="dxa" w:w="100"/>
              <w:bottom w:type="dxa" w:w="80"/>
              <w:right w:type="dxa" w:w="100"/>
            </w:tcMar>
          </w:tcPr>
          <w:p>
            <w:r>
              <w:rPr>
                <w:b w:val="false"/>
                <w:bCs w:val="false"/>
                <w:color w:val="000000"/>
                <w:sz w:val="20"/>
                <w:szCs w:val="20"/>
              </w:rPr>
              <w:t xml:space="preserve">A counterfeit-currency detector</w:t>
            </w:r>
          </w:p>
        </w:tc>
      </w:tr>
      <w:tr>
        <w:tc>
          <w:tcPr>
            <w:tcW w:type="dxa" w:w="4500"/>
            <w:tcMar>
              <w:top w:type="dxa" w:w="80"/>
              <w:left w:type="dxa" w:w="100"/>
              <w:bottom w:type="dxa" w:w="80"/>
              <w:right w:type="dxa" w:w="100"/>
            </w:tcMar>
          </w:tcPr>
          <w:p>
            <w:r>
              <w:rPr>
                <w:b w:val="false"/>
                <w:bCs w:val="false"/>
                <w:color w:val="000000"/>
                <w:sz w:val="20"/>
                <w:szCs w:val="20"/>
              </w:rPr>
              <w:t xml:space="preserve">A recommendation generator with LLM-authored justification</w:t>
            </w:r>
          </w:p>
        </w:tc>
        <w:tc>
          <w:tcPr>
            <w:tcW w:type="dxa" w:w="4500"/>
            <w:tcMar>
              <w:top w:type="dxa" w:w="80"/>
              <w:left w:type="dxa" w:w="100"/>
              <w:bottom w:type="dxa" w:w="80"/>
              <w:right w:type="dxa" w:w="100"/>
            </w:tcMar>
          </w:tcPr>
          <w:p>
            <w:r>
              <w:rPr>
                <w:b w:val="false"/>
                <w:bCs w:val="false"/>
                <w:color w:val="000000"/>
                <w:sz w:val="20"/>
                <w:szCs w:val="20"/>
              </w:rPr>
              <w:t xml:space="preserve">A real-time bank/telecom system integration</w:t>
            </w:r>
          </w:p>
        </w:tc>
      </w:tr>
      <w:tr>
        <w:tc>
          <w:tcPr>
            <w:tcW w:type="dxa" w:w="4500"/>
            <w:tcMar>
              <w:top w:type="dxa" w:w="80"/>
              <w:left w:type="dxa" w:w="100"/>
              <w:bottom w:type="dxa" w:w="80"/>
              <w:right w:type="dxa" w:w="100"/>
            </w:tcMar>
          </w:tcPr>
          <w:p>
            <w:r>
              <w:rPr>
                <w:b w:val="false"/>
                <w:bCs w:val="false"/>
                <w:color w:val="000000"/>
                <w:sz w:val="20"/>
                <w:szCs w:val="20"/>
              </w:rPr>
              <w:t xml:space="preserve">A report generator producing an investigator handoff package</w:t>
            </w:r>
          </w:p>
        </w:tc>
        <w:tc>
          <w:tcPr>
            <w:tcW w:type="dxa" w:w="4500"/>
            <w:tcMar>
              <w:top w:type="dxa" w:w="80"/>
              <w:left w:type="dxa" w:w="100"/>
              <w:bottom w:type="dxa" w:w="80"/>
              <w:right w:type="dxa" w:w="100"/>
            </w:tcMar>
          </w:tcPr>
          <w:p>
            <w:r>
              <w:rPr>
                <w:b w:val="false"/>
                <w:bCs w:val="false"/>
                <w:color w:val="000000"/>
                <w:sz w:val="20"/>
                <w:szCs w:val="20"/>
              </w:rPr>
              <w:t xml:space="preserve">A system claiming legal/court admissibility</w:t>
            </w:r>
          </w:p>
        </w:tc>
      </w:tr>
    </w:tbl>
    <w:p>
      <w:pPr>
        <w:pStyle w:val="Heading2"/>
        <w:spacing w:after="150" w:before="300"/>
      </w:pPr>
      <w:r>
        <w:t xml:space="preserve">4. Personas</w:t>
      </w:r>
    </w:p>
    <w:p>
      <w:pPr>
        <w:pStyle w:val="Heading3"/>
        <w:spacing w:after="100" w:before="200"/>
      </w:pPr>
      <w:r>
        <w:t xml:space="preserve">4.1 Primary — Fraud Operations Analyst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1F2937" w:val="clear"/>
            <w:tcMar>
              <w:top w:type="dxa" w:w="80"/>
              <w:left w:type="dxa" w:w="100"/>
              <w:bottom w:type="dxa" w:w="80"/>
              <w:right w:type="dxa" w:w="100"/>
            </w:tcMar>
          </w:tcPr>
          <w:p>
            <w:r>
              <w:rPr>
                <w:b/>
                <w:bCs/>
                <w:color w:val="FFFFFF"/>
                <w:sz w:val="20"/>
                <w:szCs w:val="20"/>
              </w:rPr>
              <w:t xml:space="preserve">Attribute</w:t>
            </w:r>
          </w:p>
        </w:tc>
        <w:tc>
          <w:tcPr>
            <w:tcW w:type="dxa" w:w="6500"/>
            <w:shd w:fill="1F2937" w:val="clear"/>
            <w:tcMar>
              <w:top w:type="dxa" w:w="80"/>
              <w:left w:type="dxa" w:w="100"/>
              <w:bottom w:type="dxa" w:w="80"/>
              <w:right w:type="dxa" w:w="100"/>
            </w:tcMar>
          </w:tcPr>
          <w:p>
            <w:r>
              <w:rPr>
                <w:b/>
                <w:bCs/>
                <w:color w:val="FFFFFF"/>
                <w:sz w:val="20"/>
                <w:szCs w:val="20"/>
              </w:rPr>
              <w:t xml:space="preserve">Detail</w:t>
            </w:r>
          </w:p>
        </w:tc>
      </w:tr>
      <w:tr>
        <w:tc>
          <w:tcPr>
            <w:tcW w:type="dxa" w:w="2500"/>
            <w:tcMar>
              <w:top w:type="dxa" w:w="80"/>
              <w:left w:type="dxa" w:w="100"/>
              <w:bottom w:type="dxa" w:w="80"/>
              <w:right w:type="dxa" w:w="100"/>
            </w:tcMar>
          </w:tcPr>
          <w:p>
            <w:r>
              <w:rPr>
                <w:b w:val="false"/>
                <w:bCs w:val="false"/>
                <w:color w:val="000000"/>
                <w:sz w:val="20"/>
                <w:szCs w:val="20"/>
              </w:rPr>
              <w:t xml:space="preserve">Role</w:t>
            </w:r>
          </w:p>
        </w:tc>
        <w:tc>
          <w:tcPr>
            <w:tcW w:type="dxa" w:w="6500"/>
            <w:tcMar>
              <w:top w:type="dxa" w:w="80"/>
              <w:left w:type="dxa" w:w="100"/>
              <w:bottom w:type="dxa" w:w="80"/>
              <w:right w:type="dxa" w:w="100"/>
            </w:tcMar>
          </w:tcPr>
          <w:p>
            <w:r>
              <w:rPr>
                <w:b w:val="false"/>
                <w:bCs w:val="false"/>
                <w:color w:val="000000"/>
                <w:sz w:val="20"/>
                <w:szCs w:val="20"/>
              </w:rPr>
              <w:t xml:space="preserve">Fraud operations analyst at a bank or fintech (e.g. a brokerage/fintech's internal fraud &amp; risk team)</w:t>
            </w:r>
          </w:p>
        </w:tc>
      </w:tr>
      <w:tr>
        <w:tc>
          <w:tcPr>
            <w:tcW w:type="dxa" w:w="2500"/>
            <w:tcMar>
              <w:top w:type="dxa" w:w="80"/>
              <w:left w:type="dxa" w:w="100"/>
              <w:bottom w:type="dxa" w:w="80"/>
              <w:right w:type="dxa" w:w="100"/>
            </w:tcMar>
          </w:tcPr>
          <w:p>
            <w:r>
              <w:rPr>
                <w:b w:val="false"/>
                <w:bCs w:val="false"/>
                <w:color w:val="000000"/>
                <w:sz w:val="20"/>
                <w:szCs w:val="20"/>
              </w:rPr>
              <w:t xml:space="preserve">Current tool</w:t>
            </w:r>
          </w:p>
        </w:tc>
        <w:tc>
          <w:tcPr>
            <w:tcW w:type="dxa" w:w="6500"/>
            <w:tcMar>
              <w:top w:type="dxa" w:w="80"/>
              <w:left w:type="dxa" w:w="100"/>
              <w:bottom w:type="dxa" w:w="80"/>
              <w:right w:type="dxa" w:w="100"/>
            </w:tcMar>
          </w:tcPr>
          <w:p>
            <w:r>
              <w:rPr>
                <w:b w:val="false"/>
                <w:bCs w:val="false"/>
                <w:color w:val="000000"/>
                <w:sz w:val="20"/>
                <w:szCs w:val="20"/>
              </w:rPr>
              <w:t xml:space="preserve">Ticketing system showing one case at a time; manual search by name/number when suspicious</w:t>
            </w:r>
          </w:p>
        </w:tc>
      </w:tr>
      <w:tr>
        <w:tc>
          <w:tcPr>
            <w:tcW w:type="dxa" w:w="2500"/>
            <w:tcMar>
              <w:top w:type="dxa" w:w="80"/>
              <w:left w:type="dxa" w:w="100"/>
              <w:bottom w:type="dxa" w:w="80"/>
              <w:right w:type="dxa" w:w="100"/>
            </w:tcMar>
          </w:tcPr>
          <w:p>
            <w:r>
              <w:rPr>
                <w:b w:val="false"/>
                <w:bCs w:val="false"/>
                <w:color w:val="000000"/>
                <w:sz w:val="20"/>
                <w:szCs w:val="20"/>
              </w:rPr>
              <w:t xml:space="preserve">Pain today</w:t>
            </w:r>
          </w:p>
        </w:tc>
        <w:tc>
          <w:tcPr>
            <w:tcW w:type="dxa" w:w="6500"/>
            <w:tcMar>
              <w:top w:type="dxa" w:w="80"/>
              <w:left w:type="dxa" w:w="100"/>
              <w:bottom w:type="dxa" w:w="80"/>
              <w:right w:type="dxa" w:w="100"/>
            </w:tcMar>
          </w:tcPr>
          <w:p>
            <w:r>
              <w:rPr>
                <w:b w:val="false"/>
                <w:bCs w:val="false"/>
                <w:color w:val="000000"/>
                <w:sz w:val="20"/>
                <w:szCs w:val="20"/>
              </w:rPr>
              <w:t xml:space="preserve">No way to see whether a case shares hard identifiers OR script/behavioral patterns with other cases, especially when a ring is careful about reusing identifiers</w:t>
            </w:r>
          </w:p>
        </w:tc>
      </w:tr>
      <w:tr>
        <w:tc>
          <w:tcPr>
            <w:tcW w:type="dxa" w:w="2500"/>
            <w:tcMar>
              <w:top w:type="dxa" w:w="80"/>
              <w:left w:type="dxa" w:w="100"/>
              <w:bottom w:type="dxa" w:w="80"/>
              <w:right w:type="dxa" w:w="100"/>
            </w:tcMar>
          </w:tcPr>
          <w:p>
            <w:r>
              <w:rPr>
                <w:b w:val="false"/>
                <w:bCs w:val="false"/>
                <w:color w:val="000000"/>
                <w:sz w:val="20"/>
                <w:szCs w:val="20"/>
              </w:rPr>
              <w:t xml:space="preserve">Trigger event</w:t>
            </w:r>
          </w:p>
        </w:tc>
        <w:tc>
          <w:tcPr>
            <w:tcW w:type="dxa" w:w="6500"/>
            <w:tcMar>
              <w:top w:type="dxa" w:w="80"/>
              <w:left w:type="dxa" w:w="100"/>
              <w:bottom w:type="dxa" w:w="80"/>
              <w:right w:type="dxa" w:w="100"/>
            </w:tcMar>
          </w:tcPr>
          <w:p>
            <w:r>
              <w:rPr>
                <w:b w:val="false"/>
                <w:bCs w:val="false"/>
                <w:color w:val="000000"/>
                <w:sz w:val="20"/>
                <w:szCs w:val="20"/>
              </w:rPr>
              <w:t xml:space="preserve">A customer reports a scam call, or an internal system flags a suspicious high-value transaction</w:t>
            </w:r>
          </w:p>
        </w:tc>
      </w:tr>
      <w:tr>
        <w:tc>
          <w:tcPr>
            <w:tcW w:type="dxa" w:w="2500"/>
            <w:tcMar>
              <w:top w:type="dxa" w:w="80"/>
              <w:left w:type="dxa" w:w="100"/>
              <w:bottom w:type="dxa" w:w="80"/>
              <w:right w:type="dxa" w:w="100"/>
            </w:tcMar>
          </w:tcPr>
          <w:p>
            <w:r>
              <w:rPr>
                <w:b w:val="false"/>
                <w:bCs w:val="false"/>
                <w:color w:val="000000"/>
                <w:sz w:val="20"/>
                <w:szCs w:val="20"/>
              </w:rPr>
              <w:t xml:space="preserve">Success moment</w:t>
            </w:r>
          </w:p>
        </w:tc>
        <w:tc>
          <w:tcPr>
            <w:tcW w:type="dxa" w:w="6500"/>
            <w:tcMar>
              <w:top w:type="dxa" w:w="80"/>
              <w:left w:type="dxa" w:w="100"/>
              <w:bottom w:type="dxa" w:w="80"/>
              <w:right w:type="dxa" w:w="100"/>
            </w:tcMar>
          </w:tcPr>
          <w:p>
            <w:r>
              <w:rPr>
                <w:b w:val="false"/>
                <w:bCs w:val="false"/>
                <w:color w:val="000000"/>
                <w:sz w:val="20"/>
                <w:szCs w:val="20"/>
              </w:rPr>
              <w:t xml:space="preserve">Opens a case, instantly sees it clusters with 4 other cases on script + partial identifier evidence, downloads a report recommending 2 accounts frozen and 1 monitored</w:t>
            </w:r>
          </w:p>
        </w:tc>
      </w:tr>
    </w:tbl>
    <w:p>
      <w:pPr>
        <w:pStyle w:val="Heading3"/>
        <w:spacing w:after="100" w:before="200"/>
      </w:pPr>
      <w:r>
        <w:t xml:space="preserve">4.2 Secondary — Triage / Intake Staff</w:t>
      </w:r>
    </w:p>
    <w:p>
      <w:pPr>
        <w:spacing w:after="150"/>
      </w:pPr>
      <w:r>
        <w:t xml:space="preserve">Lower-skill, higher-volume staff who log the initial complaint or paste the call transcript, and push confirmed cases into the system. They interact only with Case Intake.</w:t>
      </w:r>
    </w:p>
    <w:p>
      <w:pPr>
        <w:pStyle w:val="Heading3"/>
        <w:spacing w:after="100" w:before="200"/>
      </w:pPr>
      <w:r>
        <w:t xml:space="preserve">4.3 Indirect beneficiary — Citizens</w:t>
      </w:r>
    </w:p>
    <w:p>
      <w:pPr>
        <w:spacing w:after="150"/>
      </w:pPr>
      <w:r>
        <w:t xml:space="preserve">Citizens never touch the tool directly. They benefit only because the ring victimising them is disrupted faster.</w:t>
      </w:r>
    </w:p>
    <w:p>
      <w:pPr>
        <w:pStyle w:val="Heading3"/>
        <w:spacing w:after="100" w:before="200"/>
      </w:pPr>
      <w:r>
        <w:t xml:space="preserve">4.4 Explicitly not served (deliberate scope cut)</w:t>
      </w:r>
    </w:p>
    <w:p>
      <w:pPr>
        <w:pStyle w:val="ListParagraph"/>
        <w:numPr>
          <w:ilvl w:val="0"/>
          <w:numId w:val="1"/>
        </w:numPr>
        <w:spacing w:after="80"/>
      </w:pPr>
      <w:r>
        <w:t xml:space="preserve">Citizens/victims as direct users — no standalone chatbot is built.</w:t>
      </w:r>
    </w:p>
    <w:p>
      <w:pPr>
        <w:pStyle w:val="ListParagraph"/>
        <w:numPr>
          <w:ilvl w:val="0"/>
          <w:numId w:val="1"/>
        </w:numPr>
        <w:spacing w:after="80"/>
      </w:pPr>
      <w:r>
        <w:t xml:space="preserve">Policymakers or bank executives — no leadership dashboard is built.</w:t>
      </w:r>
    </w:p>
    <w:p>
      <w:pPr>
        <w:pStyle w:val="ListParagraph"/>
        <w:numPr>
          <w:ilvl w:val="0"/>
          <w:numId w:val="1"/>
        </w:numPr>
        <w:spacing w:after="80"/>
      </w:pPr>
      <w:r>
        <w:t xml:space="preserve">Law enforcement as a direct system integration — appears only as a downstream escalation destination for the generated report.</w:t>
      </w:r>
    </w:p>
    <w:p>
      <w:pPr>
        <w:pStyle w:val="Heading2"/>
        <w:spacing w:after="150" w:before="300"/>
      </w:pPr>
      <w:r>
        <w:t xml:space="preserve">5. What We Are Building, End to End</w:t>
      </w:r>
    </w:p>
    <w:p>
      <w:pPr>
        <w:spacing w:after="150"/>
      </w:pPr>
      <w:r>
        <w:t xml:space="preserve">Eight components, one pipeline. Every screen exists to feed the next, ending in one artifact an analyst can act on.</w:t>
      </w:r>
    </w:p>
    <w:p>
      <w:pPr>
        <w:pStyle w:val="Heading3"/>
        <w:spacing w:after="100" w:before="200"/>
      </w:pPr>
      <w:r>
        <w:t xml:space="preserve">5.1 Case Intake</w:t>
      </w:r>
    </w:p>
    <w:p>
      <w:pPr>
        <w:spacing w:after="150"/>
      </w:pPr>
      <w:r>
        <w:rPr>
          <w:b/>
          <w:bCs/>
        </w:rPr>
        <w:t xml:space="preserve">Description: </w:t>
      </w:r>
      <w:r>
        <w:t xml:space="preserve">Analyst enters whatever is available for a new complaint: account number, UPI VPA, device ID, IP, amount, timestamp, city, and/or a pasted call transcript. No field is mandatory alone.</w:t>
      </w:r>
    </w:p>
    <w:p>
      <w:pPr>
        <w:spacing w:after="150"/>
      </w:pPr>
      <w:r>
        <w:rPr>
          <w:b/>
          <w:bCs/>
        </w:rPr>
        <w:t xml:space="preserve">Acceptance criteria: </w:t>
      </w:r>
      <w:r>
        <w:t xml:space="preserve">A case can be created with only partial fields populated (transcript only, or transaction fields only, or both); the system never blocks on missing fields.</w:t>
      </w:r>
    </w:p>
    <w:p>
      <w:pPr>
        <w:pStyle w:val="Heading3"/>
        <w:spacing w:after="100" w:before="200"/>
      </w:pPr>
      <w:r>
        <w:t xml:space="preserve">5.2 Scam Classifier (feeder layer, LLM few-shot — not trained)</w:t>
      </w:r>
    </w:p>
    <w:p>
      <w:pPr>
        <w:spacing w:after="150"/>
      </w:pPr>
      <w:r>
        <w:rPr>
          <w:b/>
          <w:bCs/>
        </w:rPr>
        <w:t xml:space="preserve">Description: </w:t>
      </w:r>
      <w:r>
        <w:t xml:space="preserve">If a transcript is provided, an LLM is prompted with few-shot examples of digital-arrest scam structure — authority impersonation, urgency/fear framing, payment demand — and returns a risk score plus any phone numbers/UPI IDs mentioned in the text.</w:t>
      </w:r>
    </w:p>
    <w:p>
      <w:pPr>
        <w:spacing w:after="150"/>
      </w:pPr>
      <w:r>
        <w:rPr>
          <w:b/>
          <w:bCs/>
        </w:rPr>
        <w:t xml:space="preserve">Outputs: </w:t>
      </w:r>
      <w:r>
        <w:t xml:space="preserve">risk_score (0–100), extracted_entities: { phone_numbers[], upi_ids[] }</w:t>
      </w:r>
    </w:p>
    <w:p>
      <w:pPr>
        <w:spacing w:after="150"/>
      </w:pPr>
      <w:r>
        <w:rPr>
          <w:b/>
          <w:bCs/>
        </w:rPr>
        <w:t xml:space="preserve">Acceptance criteria: </w:t>
      </w:r>
      <w:r>
        <w:t xml:space="preserve">Given a transcript containing at least one of the three scam patterns, the classifier returns risk_score &gt; 60 and correctly extracts any phone number/UPI ID present.</w:t>
      </w:r>
    </w:p>
    <w:p>
      <w:pPr>
        <w:spacing w:after="150"/>
      </w:pPr>
      <w:r>
        <w:rPr>
          <w:b/>
          <w:bCs/>
        </w:rPr>
        <w:t xml:space="preserve">Why this design: </w:t>
      </w:r>
      <w:r>
        <w:t xml:space="preserve">No training data is needed — this is prompting a general-purpose LLM, not training a classifier. Defensible against 'where did you get labeled scam data' questioning.</w:t>
      </w:r>
    </w:p>
    <w:p>
      <w:pPr>
        <w:pStyle w:val="Heading3"/>
        <w:spacing w:after="100" w:before="200"/>
      </w:pPr>
      <w:r>
        <w:t xml:space="preserve">5.3 Multi-Signal Evidence Scoring (the technical core — replaces exact-match-only design)</w:t>
      </w:r>
    </w:p>
    <w:p>
      <w:pPr>
        <w:spacing w:after="150"/>
      </w:pPr>
      <w:r>
        <w:t xml:space="preserve">For every pair of cases, RingBreaker computes a single continuous linkage score (0–1) by combining three independently-computed signals. This is deliberately not a boolean — partial, fuzzy evidence should still surface a ring.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1200"/>
        <w:gridCol w:w="3600"/>
      </w:tblGrid>
      <w:tr>
        <w:tc>
          <w:tcPr>
            <w:tcW w:type="dxa" w:w="2600"/>
            <w:shd w:fill="1F2937" w:val="clear"/>
            <w:tcMar>
              <w:top w:type="dxa" w:w="80"/>
              <w:left w:type="dxa" w:w="100"/>
              <w:bottom w:type="dxa" w:w="80"/>
              <w:right w:type="dxa" w:w="100"/>
            </w:tcMar>
          </w:tcPr>
          <w:p>
            <w:r>
              <w:rPr>
                <w:b/>
                <w:bCs/>
                <w:color w:val="FFFFFF"/>
                <w:sz w:val="20"/>
                <w:szCs w:val="20"/>
              </w:rPr>
              <w:t xml:space="preserve">Signal</w:t>
            </w:r>
          </w:p>
        </w:tc>
        <w:tc>
          <w:tcPr>
            <w:tcW w:type="dxa" w:w="3600"/>
            <w:shd w:fill="1F2937" w:val="clear"/>
            <w:tcMar>
              <w:top w:type="dxa" w:w="80"/>
              <w:left w:type="dxa" w:w="100"/>
              <w:bottom w:type="dxa" w:w="80"/>
              <w:right w:type="dxa" w:w="100"/>
            </w:tcMar>
          </w:tcPr>
          <w:p>
            <w:r>
              <w:rPr>
                <w:b/>
                <w:bCs/>
                <w:color w:val="FFFFFF"/>
                <w:sz w:val="20"/>
                <w:szCs w:val="20"/>
              </w:rPr>
              <w:t xml:space="preserve">How it's computed</w:t>
            </w:r>
          </w:p>
        </w:tc>
        <w:tc>
          <w:tcPr>
            <w:tcW w:type="dxa" w:w="1200"/>
            <w:shd w:fill="1F2937" w:val="clear"/>
            <w:tcMar>
              <w:top w:type="dxa" w:w="80"/>
              <w:left w:type="dxa" w:w="100"/>
              <w:bottom w:type="dxa" w:w="80"/>
              <w:right w:type="dxa" w:w="100"/>
            </w:tcMar>
          </w:tcPr>
          <w:p>
            <w:r>
              <w:rPr>
                <w:b/>
                <w:bCs/>
                <w:color w:val="FFFFFF"/>
                <w:sz w:val="20"/>
                <w:szCs w:val="20"/>
              </w:rPr>
              <w:t xml:space="preserve">Weight</w:t>
            </w:r>
          </w:p>
        </w:tc>
        <w:tc>
          <w:tcPr>
            <w:tcW w:type="dxa" w:w="3600"/>
            <w:shd w:fill="1F2937" w:val="clear"/>
            <w:tcMar>
              <w:top w:type="dxa" w:w="80"/>
              <w:left w:type="dxa" w:w="100"/>
              <w:bottom w:type="dxa" w:w="80"/>
              <w:right w:type="dxa" w:w="100"/>
            </w:tcMar>
          </w:tcPr>
          <w:p>
            <w:r>
              <w:rPr>
                <w:b/>
                <w:bCs/>
                <w:color w:val="FFFFFF"/>
                <w:sz w:val="20"/>
                <w:szCs w:val="20"/>
              </w:rPr>
              <w:t xml:space="preserve">Why it matters</w:t>
            </w:r>
          </w:p>
        </w:tc>
      </w:tr>
      <w:tr>
        <w:tc>
          <w:tcPr>
            <w:tcW w:type="dxa" w:w="2600"/>
            <w:tcMar>
              <w:top w:type="dxa" w:w="80"/>
              <w:left w:type="dxa" w:w="100"/>
              <w:bottom w:type="dxa" w:w="80"/>
              <w:right w:type="dxa" w:w="100"/>
            </w:tcMar>
          </w:tcPr>
          <w:p>
            <w:r>
              <w:rPr>
                <w:b w:val="false"/>
                <w:bCs w:val="false"/>
                <w:color w:val="000000"/>
                <w:sz w:val="20"/>
                <w:szCs w:val="20"/>
              </w:rPr>
              <w:t xml:space="preserve">Exact identifier overlap</w:t>
            </w:r>
          </w:p>
        </w:tc>
        <w:tc>
          <w:tcPr>
            <w:tcW w:type="dxa" w:w="3600"/>
            <w:tcMar>
              <w:top w:type="dxa" w:w="80"/>
              <w:left w:type="dxa" w:w="100"/>
              <w:bottom w:type="dxa" w:w="80"/>
              <w:right w:type="dxa" w:w="100"/>
            </w:tcMar>
          </w:tcPr>
          <w:p>
            <w:r>
              <w:rPr>
                <w:b w:val="false"/>
                <w:bCs w:val="false"/>
                <w:color w:val="000000"/>
                <w:sz w:val="20"/>
                <w:szCs w:val="20"/>
              </w:rPr>
              <w:t xml:space="preserve">Boolean match on UPI VPA / device ID / IP / account number, between the two cases</w:t>
            </w:r>
          </w:p>
        </w:tc>
        <w:tc>
          <w:tcPr>
            <w:tcW w:type="dxa" w:w="1200"/>
            <w:tcMar>
              <w:top w:type="dxa" w:w="80"/>
              <w:left w:type="dxa" w:w="100"/>
              <w:bottom w:type="dxa" w:w="80"/>
              <w:right w:type="dxa" w:w="100"/>
            </w:tcMar>
          </w:tcPr>
          <w:p>
            <w:r>
              <w:rPr>
                <w:b w:val="false"/>
                <w:bCs w:val="false"/>
                <w:color w:val="000000"/>
                <w:sz w:val="20"/>
                <w:szCs w:val="20"/>
              </w:rPr>
              <w:t xml:space="preserve">0.45</w:t>
            </w:r>
          </w:p>
        </w:tc>
        <w:tc>
          <w:tcPr>
            <w:tcW w:type="dxa" w:w="3600"/>
            <w:tcMar>
              <w:top w:type="dxa" w:w="80"/>
              <w:left w:type="dxa" w:w="100"/>
              <w:bottom w:type="dxa" w:w="80"/>
              <w:right w:type="dxa" w:w="100"/>
            </w:tcMar>
          </w:tcPr>
          <w:p>
            <w:r>
              <w:rPr>
                <w:b w:val="false"/>
                <w:bCs w:val="false"/>
                <w:color w:val="000000"/>
                <w:sz w:val="20"/>
                <w:szCs w:val="20"/>
              </w:rPr>
              <w:t xml:space="preserve">Cheap, real, catches careless fraudsters — but alone is commodity logic (a SQL JOIN).</w:t>
            </w:r>
          </w:p>
        </w:tc>
      </w:tr>
      <w:tr>
        <w:tc>
          <w:tcPr>
            <w:tcW w:type="dxa" w:w="2600"/>
            <w:tcMar>
              <w:top w:type="dxa" w:w="80"/>
              <w:left w:type="dxa" w:w="100"/>
              <w:bottom w:type="dxa" w:w="80"/>
              <w:right w:type="dxa" w:w="100"/>
            </w:tcMar>
          </w:tcPr>
          <w:p>
            <w:r>
              <w:rPr>
                <w:b w:val="false"/>
                <w:bCs w:val="false"/>
                <w:color w:val="000000"/>
                <w:sz w:val="20"/>
                <w:szCs w:val="20"/>
              </w:rPr>
              <w:t xml:space="preserve">Script similarity</w:t>
            </w:r>
          </w:p>
        </w:tc>
        <w:tc>
          <w:tcPr>
            <w:tcW w:type="dxa" w:w="3600"/>
            <w:tcMar>
              <w:top w:type="dxa" w:w="80"/>
              <w:left w:type="dxa" w:w="100"/>
              <w:bottom w:type="dxa" w:w="80"/>
              <w:right w:type="dxa" w:w="100"/>
            </w:tcMar>
          </w:tcPr>
          <w:p>
            <w:r>
              <w:rPr>
                <w:b w:val="false"/>
                <w:bCs w:val="false"/>
                <w:color w:val="000000"/>
                <w:sz w:val="20"/>
                <w:szCs w:val="20"/>
              </w:rPr>
              <w:t xml:space="preserve">Cosine similarity between text embeddings of the two transcripts (pretrained embedding model, zero fraud-specific training)</w:t>
            </w:r>
          </w:p>
        </w:tc>
        <w:tc>
          <w:tcPr>
            <w:tcW w:type="dxa" w:w="1200"/>
            <w:tcMar>
              <w:top w:type="dxa" w:w="80"/>
              <w:left w:type="dxa" w:w="100"/>
              <w:bottom w:type="dxa" w:w="80"/>
              <w:right w:type="dxa" w:w="100"/>
            </w:tcMar>
          </w:tcPr>
          <w:p>
            <w:r>
              <w:rPr>
                <w:b w:val="false"/>
                <w:bCs w:val="false"/>
                <w:color w:val="000000"/>
                <w:sz w:val="20"/>
                <w:szCs w:val="20"/>
              </w:rPr>
              <w:t xml:space="preserve">0.35</w:t>
            </w:r>
          </w:p>
        </w:tc>
        <w:tc>
          <w:tcPr>
            <w:tcW w:type="dxa" w:w="3600"/>
            <w:tcMar>
              <w:top w:type="dxa" w:w="80"/>
              <w:left w:type="dxa" w:w="100"/>
              <w:bottom w:type="dxa" w:w="80"/>
              <w:right w:type="dxa" w:w="100"/>
            </w:tcMar>
          </w:tcPr>
          <w:p>
            <w:r>
              <w:rPr>
                <w:b w:val="false"/>
                <w:bCs w:val="false"/>
                <w:color w:val="000000"/>
                <w:sz w:val="20"/>
                <w:szCs w:val="20"/>
              </w:rPr>
              <w:t xml:space="preserve">Catches rings that deliberately rotate every hard identifier but reuse the same scam script — the actual AI value and the hardest thing to fake.</w:t>
            </w:r>
          </w:p>
        </w:tc>
      </w:tr>
      <w:tr>
        <w:tc>
          <w:tcPr>
            <w:tcW w:type="dxa" w:w="2600"/>
            <w:tcMar>
              <w:top w:type="dxa" w:w="80"/>
              <w:left w:type="dxa" w:w="100"/>
              <w:bottom w:type="dxa" w:w="80"/>
              <w:right w:type="dxa" w:w="100"/>
            </w:tcMar>
          </w:tcPr>
          <w:p>
            <w:r>
              <w:rPr>
                <w:b w:val="false"/>
                <w:bCs w:val="false"/>
                <w:color w:val="000000"/>
                <w:sz w:val="20"/>
                <w:szCs w:val="20"/>
              </w:rPr>
              <w:t xml:space="preserve">Behavioral proximity</w:t>
            </w:r>
          </w:p>
        </w:tc>
        <w:tc>
          <w:tcPr>
            <w:tcW w:type="dxa" w:w="3600"/>
            <w:tcMar>
              <w:top w:type="dxa" w:w="80"/>
              <w:left w:type="dxa" w:w="100"/>
              <w:bottom w:type="dxa" w:w="80"/>
              <w:right w:type="dxa" w:w="100"/>
            </w:tcMar>
          </w:tcPr>
          <w:p>
            <w:r>
              <w:rPr>
                <w:b w:val="false"/>
                <w:bCs w:val="false"/>
                <w:color w:val="000000"/>
                <w:sz w:val="20"/>
                <w:szCs w:val="20"/>
              </w:rPr>
              <w:t xml:space="preserve">Weighted closeness of timestamp, amount range, and city/geo sequence between the two cases</w:t>
            </w:r>
          </w:p>
        </w:tc>
        <w:tc>
          <w:tcPr>
            <w:tcW w:type="dxa" w:w="1200"/>
            <w:tcMar>
              <w:top w:type="dxa" w:w="80"/>
              <w:left w:type="dxa" w:w="100"/>
              <w:bottom w:type="dxa" w:w="80"/>
              <w:right w:type="dxa" w:w="100"/>
            </w:tcMar>
          </w:tcPr>
          <w:p>
            <w:r>
              <w:rPr>
                <w:b w:val="false"/>
                <w:bCs w:val="false"/>
                <w:color w:val="000000"/>
                <w:sz w:val="20"/>
                <w:szCs w:val="20"/>
              </w:rPr>
              <w:t xml:space="preserve">0.20</w:t>
            </w:r>
          </w:p>
        </w:tc>
        <w:tc>
          <w:tcPr>
            <w:tcW w:type="dxa" w:w="3600"/>
            <w:tcMar>
              <w:top w:type="dxa" w:w="80"/>
              <w:left w:type="dxa" w:w="100"/>
              <w:bottom w:type="dxa" w:w="80"/>
              <w:right w:type="dxa" w:w="100"/>
            </w:tcMar>
          </w:tcPr>
          <w:p>
            <w:r>
              <w:rPr>
                <w:b w:val="false"/>
                <w:bCs w:val="false"/>
                <w:color w:val="000000"/>
                <w:sz w:val="20"/>
                <w:szCs w:val="20"/>
              </w:rPr>
              <w:t xml:space="preserve">Compounds weak evidence — a ring visibly moving city to city over weeks.</w:t>
            </w:r>
          </w:p>
        </w:tc>
      </w:tr>
    </w:tbl>
    <w:p>
      <w:pPr>
        <w:spacing w:after="150"/>
      </w:pPr>
      <w:r>
        <w:rPr>
          <w:b/>
          <w:bCs/>
        </w:rPr>
        <w:t xml:space="preserve">Acceptance criteria: </w:t>
      </w:r>
      <w:r>
        <w:t xml:space="preserve">Given two cases sharing no hard identifiers but with &gt;0.8 script-embedding cosine similarity and same-week timestamps, the combined score must exceed the ring-formation threshold used in 5.4.</w:t>
      </w:r>
    </w:p>
    <w:p>
      <w:pPr>
        <w:spacing w:after="150"/>
      </w:pPr>
      <w:r>
        <w:rPr>
          <w:b/>
          <w:bCs/>
        </w:rPr>
        <w:t xml:space="preserve">Why this is 'smart', not hardcoded: </w:t>
      </w:r>
      <w:r>
        <w:t xml:space="preserve">Nothing here is a fixed if/else. Every signal is continuous; the exact-match signal is one weighted input among three, not the sole gate. This is the direct answer to 'why do you need AI for this at all.'</w:t>
      </w:r>
    </w:p>
    <w:p>
      <w:pPr>
        <w:pStyle w:val="Heading3"/>
        <w:spacing w:after="100" w:before="200"/>
      </w:pPr>
      <w:r>
        <w:t xml:space="preserve">5.4 Ring Detection (weighted graph clustering)</w:t>
      </w:r>
    </w:p>
    <w:p>
      <w:pPr>
        <w:spacing w:after="150"/>
      </w:pPr>
      <w:r>
        <w:rPr>
          <w:b/>
          <w:bCs/>
        </w:rPr>
        <w:t xml:space="preserve">Description: </w:t>
      </w:r>
      <w:r>
        <w:t xml:space="preserve">Every case is a node; every pairwise score above a floor (e.g. 0.3) becomes a weighted edge. Community detection (Louvain, via NetworkX/python-louvain) groups tightly-connected nodes into a ring/cluster — no labeled training data required, this is unsupervised.</w:t>
      </w:r>
    </w:p>
    <w:p>
      <w:pPr>
        <w:spacing w:after="150"/>
      </w:pPr>
      <w:r>
        <w:rPr>
          <w:b/>
          <w:bCs/>
        </w:rPr>
        <w:t xml:space="preserve">Outputs: </w:t>
      </w:r>
      <w:r>
        <w:t xml:space="preserve">ring_id, member case_ids, per-edge evidence breakdown (which signals contributed and by how much), a ring badge: 'hard-identifier-linked' vs 'script-only-linked' vs 'mixed evidence'</w:t>
      </w:r>
    </w:p>
    <w:p>
      <w:pPr>
        <w:spacing w:after="150"/>
      </w:pPr>
      <w:r>
        <w:rPr>
          <w:b/>
          <w:bCs/>
        </w:rPr>
        <w:t xml:space="preserve">Acceptance criteria: </w:t>
      </w:r>
      <w:r>
        <w:t xml:space="preserve">A ring linked only by script similarity (no shared hard identifiers) is visibly flagged as a distinct, harder-won kind of evidence — not conflated with an exact-match ring.</w:t>
      </w:r>
    </w:p>
    <w:p>
      <w:pPr>
        <w:spacing w:after="150"/>
      </w:pPr>
      <w:r>
        <w:rPr>
          <w:b/>
          <w:bCs/>
        </w:rPr>
        <w:t xml:space="preserve">Live demo moment: </w:t>
      </w:r>
      <w:r>
        <w:t xml:space="preserve">A new complaint is submitted during the demo; the graph visibly grows and the new node snaps onto an existing cluster in real time.</w:t>
      </w:r>
    </w:p>
    <w:p>
      <w:pPr>
        <w:pStyle w:val="Heading3"/>
        <w:spacing w:after="100" w:before="200"/>
      </w:pPr>
      <w:r>
        <w:t xml:space="preserve">5.5 Recommendation Engine (LLM reasoning — not a fixed threshold table)</w:t>
      </w:r>
    </w:p>
    <w:p>
      <w:pPr>
        <w:spacing w:after="150"/>
      </w:pPr>
      <w:r>
        <w:rPr>
          <w:b/>
          <w:bCs/>
        </w:rPr>
        <w:t xml:space="preserve">Description: </w:t>
      </w:r>
      <w:r>
        <w:t xml:space="preserve">Once a ring is confirmed, the case details and evidence breakdown for that cluster are passed to an LLM, which reasons in plain language about whether the evidence justifies a Freeze, a Monitor, or No Action — and explains why, citing which signals compounded.</w:t>
      </w:r>
    </w:p>
    <w:p>
      <w:pPr>
        <w:spacing w:after="150"/>
      </w:pPr>
      <w:r>
        <w:rPr>
          <w:b/>
          <w:bCs/>
        </w:rPr>
        <w:t xml:space="preserve">Example output: </w:t>
      </w:r>
      <w:r>
        <w:t xml:space="preserve">“These 4 cases share both script pattern and one device ID — strong compounding evidence — recommend Freeze on UPI ID upi_x and Account acct_y. Two additional cases in this cluster share only city and rough timing — weak, recommend Monitor only.”</w:t>
      </w:r>
    </w:p>
    <w:p>
      <w:pPr>
        <w:spacing w:after="150"/>
      </w:pPr>
      <w:r>
        <w:rPr>
          <w:b/>
          <w:bCs/>
        </w:rPr>
        <w:t xml:space="preserve">Fallback rule (defend this number verbally): </w:t>
      </w:r>
      <w:r>
        <w:t xml:space="preserve">If the LLM reasoning step is unavailable in a demo failure, fall back to: Freeze if a UPI ID/account appears with combined score ≥0.6 across ≥2 cases; Monitor if only behavioral/script signals link ≥2 cases below that score. State this explicitly as the deterministic fallback, not the primary design, if asked.</w:t>
      </w:r>
    </w:p>
    <w:p>
      <w:pPr>
        <w:pStyle w:val="Heading3"/>
        <w:spacing w:after="100" w:before="200"/>
      </w:pPr>
      <w:r>
        <w:t xml:space="preserve">5.6 Case Report (the tangible output)</w:t>
      </w:r>
    </w:p>
    <w:p>
      <w:pPr>
        <w:spacing w:after="150"/>
      </w:pPr>
      <w:r>
        <w:rPr>
          <w:b/>
          <w:bCs/>
        </w:rPr>
        <w:t xml:space="preserve">Description: </w:t>
      </w:r>
      <w:r>
        <w:t xml:space="preserve">One-click structured, downloadable report: plain-language ring summary, case count, customers affected, total ₹ at risk, a freeze/monitor table naming specific entities, and an escalation note formatted for investigator handoff.</w:t>
      </w:r>
    </w:p>
    <w:p>
      <w:pPr>
        <w:spacing w:after="150"/>
      </w:pPr>
      <w:r>
        <w:rPr>
          <w:b/>
          <w:bCs/>
        </w:rPr>
        <w:t xml:space="preserve">Explicit framing: </w:t>
      </w:r>
      <w:r>
        <w:t xml:space="preserve">Do not claim 'court-admissible evidence.' Frame as: 'a structured intelligence package formatted for investigator handoff.'</w:t>
      </w:r>
    </w:p>
    <w:p>
      <w:pPr>
        <w:pStyle w:val="Heading3"/>
        <w:spacing w:after="100" w:before="200"/>
      </w:pPr>
      <w:r>
        <w:t xml:space="preserve">5.7 Geospatial Map (thin supporting layer)</w:t>
      </w:r>
    </w:p>
    <w:p>
      <w:pPr>
        <w:spacing w:after="150"/>
      </w:pPr>
      <w:r>
        <w:rPr>
          <w:b/>
          <w:bCs/>
        </w:rPr>
        <w:t xml:space="preserve">Description: </w:t>
      </w:r>
      <w:r>
        <w:t xml:space="preserve">Clicking a ring in the graph filters a map view to that ring's case locations. No independent logic, no patrol-optimisation, no separate data pipeline — purely mirrors the graph's output. Exists to cover the Scalability/UX judging criteria cheaply.</w:t>
      </w:r>
    </w:p>
    <w:p>
      <w:pPr>
        <w:pStyle w:val="Heading3"/>
        <w:spacing w:after="100" w:before="200"/>
      </w:pPr>
      <w:r>
        <w:t xml:space="preserve">5.8 Explicitly cut for this build (state as roadmap in the deck, do not build)</w:t>
      </w:r>
    </w:p>
    <w:p>
      <w:pPr>
        <w:pStyle w:val="ListParagraph"/>
        <w:numPr>
          <w:ilvl w:val="0"/>
          <w:numId w:val="1"/>
        </w:numPr>
        <w:spacing w:after="80"/>
      </w:pPr>
      <w:r>
        <w:t xml:space="preserve">Citizen Fraud Shield (standalone chatbot) — folded conceptually into 5.2's detection layer.</w:t>
      </w:r>
    </w:p>
    <w:p>
      <w:pPr>
        <w:pStyle w:val="ListParagraph"/>
        <w:numPr>
          <w:ilvl w:val="0"/>
          <w:numId w:val="1"/>
        </w:numPr>
        <w:spacing w:after="80"/>
      </w:pPr>
      <w:r>
        <w:t xml:space="preserve">Counterfeit Currency CV classifier — separate skillset/dataset investment, no time.</w:t>
      </w:r>
    </w:p>
    <w:p>
      <w:pPr>
        <w:pStyle w:val="ListParagraph"/>
        <w:numPr>
          <w:ilvl w:val="0"/>
          <w:numId w:val="1"/>
        </w:numPr>
        <w:spacing w:after="80"/>
      </w:pPr>
      <w:r>
        <w:t xml:space="preserve">Multi-channel / 12-language citizen support — roadmap only.</w:t>
      </w:r>
    </w:p>
    <w:p>
      <w:pPr>
        <w:pStyle w:val="ListParagraph"/>
        <w:numPr>
          <w:ilvl w:val="0"/>
          <w:numId w:val="1"/>
        </w:numPr>
        <w:spacing w:after="80"/>
      </w:pPr>
      <w:r>
        <w:t xml:space="preserve">Real-time bank/telecom/NCRB system integration — roadmap only.</w:t>
      </w:r>
    </w:p>
    <w:p>
      <w:pPr>
        <w:pStyle w:val="Heading2"/>
        <w:spacing w:after="150" w:before="300"/>
      </w:pPr>
      <w:r>
        <w:t xml:space="preserve">6. Data Model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1F2937" w:val="clear"/>
            <w:tcMar>
              <w:top w:type="dxa" w:w="80"/>
              <w:left w:type="dxa" w:w="100"/>
              <w:bottom w:type="dxa" w:w="80"/>
              <w:right w:type="dxa" w:w="100"/>
            </w:tcMar>
          </w:tcPr>
          <w:p>
            <w:r>
              <w:rPr>
                <w:b/>
                <w:bCs/>
                <w:color w:val="FFFFFF"/>
                <w:sz w:val="20"/>
                <w:szCs w:val="20"/>
              </w:rPr>
              <w:t xml:space="preserve">Entity</w:t>
            </w:r>
          </w:p>
        </w:tc>
        <w:tc>
          <w:tcPr>
            <w:tcW w:type="dxa" w:w="6800"/>
            <w:shd w:fill="1F2937" w:val="clear"/>
            <w:tcMar>
              <w:top w:type="dxa" w:w="80"/>
              <w:left w:type="dxa" w:w="100"/>
              <w:bottom w:type="dxa" w:w="80"/>
              <w:right w:type="dxa" w:w="100"/>
            </w:tcMar>
          </w:tcPr>
          <w:p>
            <w:r>
              <w:rPr>
                <w:b/>
                <w:bCs/>
                <w:color w:val="FFFFFF"/>
                <w:sz w:val="20"/>
                <w:szCs w:val="20"/>
              </w:rPr>
              <w:t xml:space="preserve">Key fields</w:t>
            </w:r>
          </w:p>
        </w:tc>
      </w:tr>
      <w:tr>
        <w:tc>
          <w:tcPr>
            <w:tcW w:type="dxa" w:w="2200"/>
            <w:tcMar>
              <w:top w:type="dxa" w:w="80"/>
              <w:left w:type="dxa" w:w="100"/>
              <w:bottom w:type="dxa" w:w="80"/>
              <w:right w:type="dxa" w:w="100"/>
            </w:tcMar>
          </w:tcPr>
          <w:p>
            <w:r>
              <w:rPr>
                <w:b w:val="false"/>
                <w:bCs w:val="false"/>
                <w:color w:val="000000"/>
                <w:sz w:val="20"/>
                <w:szCs w:val="20"/>
              </w:rPr>
              <w:t xml:space="preserve">Case</w:t>
            </w:r>
          </w:p>
        </w:tc>
        <w:tc>
          <w:tcPr>
            <w:tcW w:type="dxa" w:w="6800"/>
            <w:tcMar>
              <w:top w:type="dxa" w:w="80"/>
              <w:left w:type="dxa" w:w="100"/>
              <w:bottom w:type="dxa" w:w="80"/>
              <w:right w:type="dxa" w:w="100"/>
            </w:tcMar>
          </w:tcPr>
          <w:p>
            <w:r>
              <w:rPr>
                <w:b w:val="false"/>
                <w:bCs w:val="false"/>
                <w:color w:val="000000"/>
                <w:sz w:val="20"/>
                <w:szCs w:val="20"/>
              </w:rPr>
              <w:t xml:space="preserve">case_id, account_number, upi_vpa, device_id, ip_address, amount, timestamp, city, transcript_text, risk_score, created_at</w:t>
            </w:r>
          </w:p>
        </w:tc>
      </w:tr>
      <w:tr>
        <w:tc>
          <w:tcPr>
            <w:tcW w:type="dxa" w:w="2200"/>
            <w:tcMar>
              <w:top w:type="dxa" w:w="80"/>
              <w:left w:type="dxa" w:w="100"/>
              <w:bottom w:type="dxa" w:w="80"/>
              <w:right w:type="dxa" w:w="100"/>
            </w:tcMar>
          </w:tcPr>
          <w:p>
            <w:r>
              <w:rPr>
                <w:b w:val="false"/>
                <w:bCs w:val="false"/>
                <w:color w:val="000000"/>
                <w:sz w:val="20"/>
                <w:szCs w:val="20"/>
              </w:rPr>
              <w:t xml:space="preserve">Extracted Entity</w:t>
            </w:r>
          </w:p>
        </w:tc>
        <w:tc>
          <w:tcPr>
            <w:tcW w:type="dxa" w:w="6800"/>
            <w:tcMar>
              <w:top w:type="dxa" w:w="80"/>
              <w:left w:type="dxa" w:w="100"/>
              <w:bottom w:type="dxa" w:w="80"/>
              <w:right w:type="dxa" w:w="100"/>
            </w:tcMar>
          </w:tcPr>
          <w:p>
            <w:r>
              <w:rPr>
                <w:b w:val="false"/>
                <w:bCs w:val="false"/>
                <w:color w:val="000000"/>
                <w:sz w:val="20"/>
                <w:szCs w:val="20"/>
              </w:rPr>
              <w:t xml:space="preserve">entity_id, case_id, type (phone/upi/device/ip/account), value</w:t>
            </w:r>
          </w:p>
        </w:tc>
      </w:tr>
      <w:tr>
        <w:tc>
          <w:tcPr>
            <w:tcW w:type="dxa" w:w="2200"/>
            <w:tcMar>
              <w:top w:type="dxa" w:w="80"/>
              <w:left w:type="dxa" w:w="100"/>
              <w:bottom w:type="dxa" w:w="80"/>
              <w:right w:type="dxa" w:w="100"/>
            </w:tcMar>
          </w:tcPr>
          <w:p>
            <w:r>
              <w:rPr>
                <w:b w:val="false"/>
                <w:bCs w:val="false"/>
                <w:color w:val="000000"/>
                <w:sz w:val="20"/>
                <w:szCs w:val="20"/>
              </w:rPr>
              <w:t xml:space="preserve">Evidence Link</w:t>
            </w:r>
          </w:p>
        </w:tc>
        <w:tc>
          <w:tcPr>
            <w:tcW w:type="dxa" w:w="6800"/>
            <w:tcMar>
              <w:top w:type="dxa" w:w="80"/>
              <w:left w:type="dxa" w:w="100"/>
              <w:bottom w:type="dxa" w:w="80"/>
              <w:right w:type="dxa" w:w="100"/>
            </w:tcMar>
          </w:tcPr>
          <w:p>
            <w:r>
              <w:rPr>
                <w:b w:val="false"/>
                <w:bCs w:val="false"/>
                <w:color w:val="000000"/>
                <w:sz w:val="20"/>
                <w:szCs w:val="20"/>
              </w:rPr>
              <w:t xml:space="preserve">case_id_a, case_id_b, exact_match_score, script_similarity_score, behavioral_score, combined_score, matched_fields[]</w:t>
            </w:r>
          </w:p>
        </w:tc>
      </w:tr>
      <w:tr>
        <w:tc>
          <w:tcPr>
            <w:tcW w:type="dxa" w:w="2200"/>
            <w:tcMar>
              <w:top w:type="dxa" w:w="80"/>
              <w:left w:type="dxa" w:w="100"/>
              <w:bottom w:type="dxa" w:w="80"/>
              <w:right w:type="dxa" w:w="100"/>
            </w:tcMar>
          </w:tcPr>
          <w:p>
            <w:r>
              <w:rPr>
                <w:b w:val="false"/>
                <w:bCs w:val="false"/>
                <w:color w:val="000000"/>
                <w:sz w:val="20"/>
                <w:szCs w:val="20"/>
              </w:rPr>
              <w:t xml:space="preserve">Ring / Cluster</w:t>
            </w:r>
          </w:p>
        </w:tc>
        <w:tc>
          <w:tcPr>
            <w:tcW w:type="dxa" w:w="6800"/>
            <w:tcMar>
              <w:top w:type="dxa" w:w="80"/>
              <w:left w:type="dxa" w:w="100"/>
              <w:bottom w:type="dxa" w:w="80"/>
              <w:right w:type="dxa" w:w="100"/>
            </w:tcMar>
          </w:tcPr>
          <w:p>
            <w:r>
              <w:rPr>
                <w:b w:val="false"/>
                <w:bCs w:val="false"/>
                <w:color w:val="000000"/>
                <w:sz w:val="20"/>
                <w:szCs w:val="20"/>
              </w:rPr>
              <w:t xml:space="preserve">ring_id, member_case_ids[], evidence_type (hard/script/mixed), total_amount_at_risk, customers_affected, created_at, last_updated</w:t>
            </w:r>
          </w:p>
        </w:tc>
      </w:tr>
      <w:tr>
        <w:tc>
          <w:tcPr>
            <w:tcW w:type="dxa" w:w="2200"/>
            <w:tcMar>
              <w:top w:type="dxa" w:w="80"/>
              <w:left w:type="dxa" w:w="100"/>
              <w:bottom w:type="dxa" w:w="80"/>
              <w:right w:type="dxa" w:w="100"/>
            </w:tcMar>
          </w:tcPr>
          <w:p>
            <w:r>
              <w:rPr>
                <w:b w:val="false"/>
                <w:bCs w:val="false"/>
                <w:color w:val="000000"/>
                <w:sz w:val="20"/>
                <w:szCs w:val="20"/>
              </w:rPr>
              <w:t xml:space="preserve">Recommendation</w:t>
            </w:r>
          </w:p>
        </w:tc>
        <w:tc>
          <w:tcPr>
            <w:tcW w:type="dxa" w:w="6800"/>
            <w:tcMar>
              <w:top w:type="dxa" w:w="80"/>
              <w:left w:type="dxa" w:w="100"/>
              <w:bottom w:type="dxa" w:w="80"/>
              <w:right w:type="dxa" w:w="100"/>
            </w:tcMar>
          </w:tcPr>
          <w:p>
            <w:r>
              <w:rPr>
                <w:b w:val="false"/>
                <w:bCs w:val="false"/>
                <w:color w:val="000000"/>
                <w:sz w:val="20"/>
                <w:szCs w:val="20"/>
              </w:rPr>
              <w:t xml:space="preserve">ring_id, action (freeze/monitor/none), target_entities[], justification_text, generated_at</w:t>
            </w:r>
          </w:p>
        </w:tc>
      </w:tr>
      <w:tr>
        <w:tc>
          <w:tcPr>
            <w:tcW w:type="dxa" w:w="2200"/>
            <w:tcMar>
              <w:top w:type="dxa" w:w="80"/>
              <w:left w:type="dxa" w:w="100"/>
              <w:bottom w:type="dxa" w:w="80"/>
              <w:right w:type="dxa" w:w="100"/>
            </w:tcMar>
          </w:tcPr>
          <w:p>
            <w:r>
              <w:rPr>
                <w:b w:val="false"/>
                <w:bCs w:val="false"/>
                <w:color w:val="000000"/>
                <w:sz w:val="20"/>
                <w:szCs w:val="20"/>
              </w:rPr>
              <w:t xml:space="preserve">Case Report</w:t>
            </w:r>
          </w:p>
        </w:tc>
        <w:tc>
          <w:tcPr>
            <w:tcW w:type="dxa" w:w="6800"/>
            <w:tcMar>
              <w:top w:type="dxa" w:w="80"/>
              <w:left w:type="dxa" w:w="100"/>
              <w:bottom w:type="dxa" w:w="80"/>
              <w:right w:type="dxa" w:w="100"/>
            </w:tcMar>
          </w:tcPr>
          <w:p>
            <w:r>
              <w:rPr>
                <w:b w:val="false"/>
                <w:bCs w:val="false"/>
                <w:color w:val="000000"/>
                <w:sz w:val="20"/>
                <w:szCs w:val="20"/>
              </w:rPr>
              <w:t xml:space="preserve">report_id, ring_id, summary_text, freeze_table, escalation_note, generated_at</w:t>
            </w:r>
          </w:p>
        </w:tc>
      </w:tr>
    </w:tbl>
    <w:p>
      <w:pPr>
        <w:pStyle w:val="Heading2"/>
        <w:spacing w:after="150" w:before="300"/>
      </w:pPr>
      <w:r>
        <w:t xml:space="preserve">7. System Architecture</w:t>
      </w:r>
    </w:p>
    <w:p>
      <w:pPr>
        <w:spacing w:after="150"/>
      </w:pPr>
      <w:r>
        <w:t xml:space="preserve">Pipeline: Case Intake (frontend) → Backend API → [Scam Classifier (LLM)] + [Embedding Service] running in parallel → Multi-Signal Evidence Scoring → Weighted Graph Store (NetworkX) → Louvain Clustering → Recommendation Engine (LLM reasoning) → Report Generator → Frontend (Graph view, Map view, Report view).</w:t>
      </w:r>
    </w:p>
    <w:p>
      <w:pPr>
        <w:pStyle w:val="Heading3"/>
        <w:spacing w:after="100" w:before="200"/>
      </w:pPr>
      <w:r>
        <w:t xml:space="preserve">7.1 Tech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00"/>
      </w:tblGrid>
      <w:tr>
        <w:tc>
          <w:tcPr>
            <w:tcW w:type="dxa" w:w="1800"/>
            <w:shd w:fill="1F2937" w:val="clear"/>
            <w:tcMar>
              <w:top w:type="dxa" w:w="80"/>
              <w:left w:type="dxa" w:w="100"/>
              <w:bottom w:type="dxa" w:w="80"/>
              <w:right w:type="dxa" w:w="100"/>
            </w:tcMar>
          </w:tcPr>
          <w:p>
            <w:r>
              <w:rPr>
                <w:b/>
                <w:bCs/>
                <w:color w:val="FFFFFF"/>
                <w:sz w:val="20"/>
                <w:szCs w:val="20"/>
              </w:rPr>
              <w:t xml:space="preserve">Layer</w:t>
            </w:r>
          </w:p>
        </w:tc>
        <w:tc>
          <w:tcPr>
            <w:tcW w:type="dxa" w:w="3600"/>
            <w:shd w:fill="1F2937" w:val="clear"/>
            <w:tcMar>
              <w:top w:type="dxa" w:w="80"/>
              <w:left w:type="dxa" w:w="100"/>
              <w:bottom w:type="dxa" w:w="80"/>
              <w:right w:type="dxa" w:w="100"/>
            </w:tcMar>
          </w:tcPr>
          <w:p>
            <w:r>
              <w:rPr>
                <w:b/>
                <w:bCs/>
                <w:color w:val="FFFFFF"/>
                <w:sz w:val="20"/>
                <w:szCs w:val="20"/>
              </w:rPr>
              <w:t xml:space="preserve">Choice</w:t>
            </w:r>
          </w:p>
        </w:tc>
        <w:tc>
          <w:tcPr>
            <w:tcW w:type="dxa" w:w="3600"/>
            <w:shd w:fill="1F2937" w:val="clear"/>
            <w:tcMar>
              <w:top w:type="dxa" w:w="80"/>
              <w:left w:type="dxa" w:w="100"/>
              <w:bottom w:type="dxa" w:w="80"/>
              <w:right w:type="dxa" w:w="100"/>
            </w:tcMar>
          </w:tcPr>
          <w:p>
            <w:r>
              <w:rPr>
                <w:b/>
                <w:bCs/>
                <w:color w:val="FFFFFF"/>
                <w:sz w:val="20"/>
                <w:szCs w:val="20"/>
              </w:rPr>
              <w:t xml:space="preserve">Why</w:t>
            </w:r>
          </w:p>
        </w:tc>
      </w:tr>
      <w:tr>
        <w:tc>
          <w:tcPr>
            <w:tcW w:type="dxa" w:w="1800"/>
            <w:tcMar>
              <w:top w:type="dxa" w:w="80"/>
              <w:left w:type="dxa" w:w="100"/>
              <w:bottom w:type="dxa" w:w="80"/>
              <w:right w:type="dxa" w:w="100"/>
            </w:tcMar>
          </w:tcPr>
          <w:p>
            <w:r>
              <w:rPr>
                <w:b w:val="false"/>
                <w:bCs w:val="false"/>
                <w:color w:val="000000"/>
                <w:sz w:val="20"/>
                <w:szCs w:val="20"/>
              </w:rPr>
              <w:t xml:space="preserve">Frontend</w:t>
            </w:r>
          </w:p>
        </w:tc>
        <w:tc>
          <w:tcPr>
            <w:tcW w:type="dxa" w:w="3600"/>
            <w:tcMar>
              <w:top w:type="dxa" w:w="80"/>
              <w:left w:type="dxa" w:w="100"/>
              <w:bottom w:type="dxa" w:w="80"/>
              <w:right w:type="dxa" w:w="100"/>
            </w:tcMar>
          </w:tcPr>
          <w:p>
            <w:r>
              <w:rPr>
                <w:b w:val="false"/>
                <w:bCs w:val="false"/>
                <w:color w:val="000000"/>
                <w:sz w:val="20"/>
                <w:szCs w:val="20"/>
              </w:rPr>
              <w:t xml:space="preserve">React + a graph-viz library (react-force-graph or vis.js) + Leaflet/Mapbox for map</w:t>
            </w:r>
          </w:p>
        </w:tc>
        <w:tc>
          <w:tcPr>
            <w:tcW w:type="dxa" w:w="3600"/>
            <w:tcMar>
              <w:top w:type="dxa" w:w="80"/>
              <w:left w:type="dxa" w:w="100"/>
              <w:bottom w:type="dxa" w:w="80"/>
              <w:right w:type="dxa" w:w="100"/>
            </w:tcMar>
          </w:tcPr>
          <w:p>
            <w:r>
              <w:rPr>
                <w:b w:val="false"/>
                <w:bCs w:val="false"/>
                <w:color w:val="000000"/>
                <w:sz w:val="20"/>
                <w:szCs w:val="20"/>
              </w:rPr>
              <w:t xml:space="preserve">Fast to wire, interactive graph is the demo centerpiece</w:t>
            </w:r>
          </w:p>
        </w:tc>
      </w:tr>
      <w:tr>
        <w:tc>
          <w:tcPr>
            <w:tcW w:type="dxa" w:w="1800"/>
            <w:tcMar>
              <w:top w:type="dxa" w:w="80"/>
              <w:left w:type="dxa" w:w="100"/>
              <w:bottom w:type="dxa" w:w="80"/>
              <w:right w:type="dxa" w:w="100"/>
            </w:tcMar>
          </w:tcPr>
          <w:p>
            <w:r>
              <w:rPr>
                <w:b w:val="false"/>
                <w:bCs w:val="false"/>
                <w:color w:val="000000"/>
                <w:sz w:val="20"/>
                <w:szCs w:val="20"/>
              </w:rPr>
              <w:t xml:space="preserve">Backend</w:t>
            </w:r>
          </w:p>
        </w:tc>
        <w:tc>
          <w:tcPr>
            <w:tcW w:type="dxa" w:w="3600"/>
            <w:tcMar>
              <w:top w:type="dxa" w:w="80"/>
              <w:left w:type="dxa" w:w="100"/>
              <w:bottom w:type="dxa" w:w="80"/>
              <w:right w:type="dxa" w:w="100"/>
            </w:tcMar>
          </w:tcPr>
          <w:p>
            <w:r>
              <w:rPr>
                <w:b w:val="false"/>
                <w:bCs w:val="false"/>
                <w:color w:val="000000"/>
                <w:sz w:val="20"/>
                <w:szCs w:val="20"/>
              </w:rPr>
              <w:t xml:space="preserve">Python (FastAPI) or Node (Express)</w:t>
            </w:r>
          </w:p>
        </w:tc>
        <w:tc>
          <w:tcPr>
            <w:tcW w:type="dxa" w:w="3600"/>
            <w:tcMar>
              <w:top w:type="dxa" w:w="80"/>
              <w:left w:type="dxa" w:w="100"/>
              <w:bottom w:type="dxa" w:w="80"/>
              <w:right w:type="dxa" w:w="100"/>
            </w:tcMar>
          </w:tcPr>
          <w:p>
            <w:r>
              <w:rPr>
                <w:b w:val="false"/>
                <w:bCs w:val="false"/>
                <w:color w:val="000000"/>
                <w:sz w:val="20"/>
                <w:szCs w:val="20"/>
              </w:rPr>
              <w:t xml:space="preserve">Either works; Python is friendlier for NetworkX/embeddings</w:t>
            </w:r>
          </w:p>
        </w:tc>
      </w:tr>
      <w:tr>
        <w:tc>
          <w:tcPr>
            <w:tcW w:type="dxa" w:w="1800"/>
            <w:tcMar>
              <w:top w:type="dxa" w:w="80"/>
              <w:left w:type="dxa" w:w="100"/>
              <w:bottom w:type="dxa" w:w="80"/>
              <w:right w:type="dxa" w:w="100"/>
            </w:tcMar>
          </w:tcPr>
          <w:p>
            <w:r>
              <w:rPr>
                <w:b w:val="false"/>
                <w:bCs w:val="false"/>
                <w:color w:val="000000"/>
                <w:sz w:val="20"/>
                <w:szCs w:val="20"/>
              </w:rPr>
              <w:t xml:space="preserve">Embeddings</w:t>
            </w:r>
          </w:p>
        </w:tc>
        <w:tc>
          <w:tcPr>
            <w:tcW w:type="dxa" w:w="3600"/>
            <w:tcMar>
              <w:top w:type="dxa" w:w="80"/>
              <w:left w:type="dxa" w:w="100"/>
              <w:bottom w:type="dxa" w:w="80"/>
              <w:right w:type="dxa" w:w="100"/>
            </w:tcMar>
          </w:tcPr>
          <w:p>
            <w:r>
              <w:rPr>
                <w:b w:val="false"/>
                <w:bCs w:val="false"/>
                <w:color w:val="000000"/>
                <w:sz w:val="20"/>
                <w:szCs w:val="20"/>
              </w:rPr>
              <w:t xml:space="preserve">OpenAI/Anthropic embeddings API, or local sentence-transformers as offline fallback</w:t>
            </w:r>
          </w:p>
        </w:tc>
        <w:tc>
          <w:tcPr>
            <w:tcW w:type="dxa" w:w="3600"/>
            <w:tcMar>
              <w:top w:type="dxa" w:w="80"/>
              <w:left w:type="dxa" w:w="100"/>
              <w:bottom w:type="dxa" w:w="80"/>
              <w:right w:type="dxa" w:w="100"/>
            </w:tcMar>
          </w:tcPr>
          <w:p>
            <w:r>
              <w:rPr>
                <w:b w:val="false"/>
                <w:bCs w:val="false"/>
                <w:color w:val="000000"/>
                <w:sz w:val="20"/>
                <w:szCs w:val="20"/>
              </w:rPr>
              <w:t xml:space="preserve">Zero training data required; fallback protects against API downtime mid-demo</w:t>
            </w:r>
          </w:p>
        </w:tc>
      </w:tr>
      <w:tr>
        <w:tc>
          <w:tcPr>
            <w:tcW w:type="dxa" w:w="1800"/>
            <w:tcMar>
              <w:top w:type="dxa" w:w="80"/>
              <w:left w:type="dxa" w:w="100"/>
              <w:bottom w:type="dxa" w:w="80"/>
              <w:right w:type="dxa" w:w="100"/>
            </w:tcMar>
          </w:tcPr>
          <w:p>
            <w:r>
              <w:rPr>
                <w:b w:val="false"/>
                <w:bCs w:val="false"/>
                <w:color w:val="000000"/>
                <w:sz w:val="20"/>
                <w:szCs w:val="20"/>
              </w:rPr>
              <w:t xml:space="preserve">LLM (classifier + reasoning)</w:t>
            </w:r>
          </w:p>
        </w:tc>
        <w:tc>
          <w:tcPr>
            <w:tcW w:type="dxa" w:w="3600"/>
            <w:tcMar>
              <w:top w:type="dxa" w:w="80"/>
              <w:left w:type="dxa" w:w="100"/>
              <w:bottom w:type="dxa" w:w="80"/>
              <w:right w:type="dxa" w:w="100"/>
            </w:tcMar>
          </w:tcPr>
          <w:p>
            <w:r>
              <w:rPr>
                <w:b w:val="false"/>
                <w:bCs w:val="false"/>
                <w:color w:val="000000"/>
                <w:sz w:val="20"/>
                <w:szCs w:val="20"/>
              </w:rPr>
              <w:t xml:space="preserve">Claude/GPT via API, few-shot prompted</w:t>
            </w:r>
          </w:p>
        </w:tc>
        <w:tc>
          <w:tcPr>
            <w:tcW w:type="dxa" w:w="3600"/>
            <w:tcMar>
              <w:top w:type="dxa" w:w="80"/>
              <w:left w:type="dxa" w:w="100"/>
              <w:bottom w:type="dxa" w:w="80"/>
              <w:right w:type="dxa" w:w="100"/>
            </w:tcMar>
          </w:tcPr>
          <w:p>
            <w:r>
              <w:rPr>
                <w:b w:val="false"/>
                <w:bCs w:val="false"/>
                <w:color w:val="000000"/>
                <w:sz w:val="20"/>
                <w:szCs w:val="20"/>
              </w:rPr>
              <w:t xml:space="preserve">No fine-tuning needed, fast to iterate in 3 days</w:t>
            </w:r>
          </w:p>
        </w:tc>
      </w:tr>
      <w:tr>
        <w:tc>
          <w:tcPr>
            <w:tcW w:type="dxa" w:w="1800"/>
            <w:tcMar>
              <w:top w:type="dxa" w:w="80"/>
              <w:left w:type="dxa" w:w="100"/>
              <w:bottom w:type="dxa" w:w="80"/>
              <w:right w:type="dxa" w:w="100"/>
            </w:tcMar>
          </w:tcPr>
          <w:p>
            <w:r>
              <w:rPr>
                <w:b w:val="false"/>
                <w:bCs w:val="false"/>
                <w:color w:val="000000"/>
                <w:sz w:val="20"/>
                <w:szCs w:val="20"/>
              </w:rPr>
              <w:t xml:space="preserve">Graph/clustering</w:t>
            </w:r>
          </w:p>
        </w:tc>
        <w:tc>
          <w:tcPr>
            <w:tcW w:type="dxa" w:w="3600"/>
            <w:tcMar>
              <w:top w:type="dxa" w:w="80"/>
              <w:left w:type="dxa" w:w="100"/>
              <w:bottom w:type="dxa" w:w="80"/>
              <w:right w:type="dxa" w:w="100"/>
            </w:tcMar>
          </w:tcPr>
          <w:p>
            <w:r>
              <w:rPr>
                <w:b w:val="false"/>
                <w:bCs w:val="false"/>
                <w:color w:val="000000"/>
                <w:sz w:val="20"/>
                <w:szCs w:val="20"/>
              </w:rPr>
              <w:t xml:space="preserve">NetworkX + python-louvain (or networkx.algorithms.community)</w:t>
            </w:r>
          </w:p>
        </w:tc>
        <w:tc>
          <w:tcPr>
            <w:tcW w:type="dxa" w:w="3600"/>
            <w:tcMar>
              <w:top w:type="dxa" w:w="80"/>
              <w:left w:type="dxa" w:w="100"/>
              <w:bottom w:type="dxa" w:w="80"/>
              <w:right w:type="dxa" w:w="100"/>
            </w:tcMar>
          </w:tcPr>
          <w:p>
            <w:r>
              <w:rPr>
                <w:b w:val="false"/>
                <w:bCs w:val="false"/>
                <w:color w:val="000000"/>
                <w:sz w:val="20"/>
                <w:szCs w:val="20"/>
              </w:rPr>
              <w:t xml:space="preserve">No need for Neo4j at hackathon scale</w:t>
            </w:r>
          </w:p>
        </w:tc>
      </w:tr>
      <w:tr>
        <w:tc>
          <w:tcPr>
            <w:tcW w:type="dxa" w:w="1800"/>
            <w:tcMar>
              <w:top w:type="dxa" w:w="80"/>
              <w:left w:type="dxa" w:w="100"/>
              <w:bottom w:type="dxa" w:w="80"/>
              <w:right w:type="dxa" w:w="100"/>
            </w:tcMar>
          </w:tcPr>
          <w:p>
            <w:r>
              <w:rPr>
                <w:b w:val="false"/>
                <w:bCs w:val="false"/>
                <w:color w:val="000000"/>
                <w:sz w:val="20"/>
                <w:szCs w:val="20"/>
              </w:rPr>
              <w:t xml:space="preserve">Data store</w:t>
            </w:r>
          </w:p>
        </w:tc>
        <w:tc>
          <w:tcPr>
            <w:tcW w:type="dxa" w:w="3600"/>
            <w:tcMar>
              <w:top w:type="dxa" w:w="80"/>
              <w:left w:type="dxa" w:w="100"/>
              <w:bottom w:type="dxa" w:w="80"/>
              <w:right w:type="dxa" w:w="100"/>
            </w:tcMar>
          </w:tcPr>
          <w:p>
            <w:r>
              <w:rPr>
                <w:b w:val="false"/>
                <w:bCs w:val="false"/>
                <w:color w:val="000000"/>
                <w:sz w:val="20"/>
                <w:szCs w:val="20"/>
              </w:rPr>
              <w:t xml:space="preserve">SQLite or Postgres (Supabase/Neon for hosted)</w:t>
            </w:r>
          </w:p>
        </w:tc>
        <w:tc>
          <w:tcPr>
            <w:tcW w:type="dxa" w:w="3600"/>
            <w:tcMar>
              <w:top w:type="dxa" w:w="80"/>
              <w:left w:type="dxa" w:w="100"/>
              <w:bottom w:type="dxa" w:w="80"/>
              <w:right w:type="dxa" w:w="100"/>
            </w:tcMar>
          </w:tcPr>
          <w:p>
            <w:r>
              <w:rPr>
                <w:b w:val="false"/>
                <w:bCs w:val="false"/>
                <w:color w:val="000000"/>
                <w:sz w:val="20"/>
                <w:szCs w:val="20"/>
              </w:rPr>
              <w:t xml:space="preserve">Simple, fast to set up, easy to seed</w:t>
            </w:r>
          </w:p>
        </w:tc>
      </w:tr>
    </w:tbl>
    <w:p>
      <w:pPr>
        <w:pStyle w:val="Heading3"/>
        <w:spacing w:after="100" w:before="200"/>
      </w:pPr>
      <w:r>
        <w:t xml:space="preserve">7.2 API surface</w:t>
      </w:r>
    </w:p>
    <w:p>
      <w:pPr>
        <w:pBdr>
          <w:top w:val="single" w:color="CCCCCC" w:sz="2"/>
          <w:bottom w:val="single" w:color="CCCCCC" w:sz="2"/>
          <w:left w:val="single" w:color="CCCCCC" w:sz="2"/>
          <w:right w:val="single" w:color="CCCCCC" w:sz="2"/>
        </w:pBdr>
        <w:shd w:fill="F5F5F5" w:val="clear"/>
        <w:spacing w:after="150"/>
      </w:pPr>
      <w:r>
        <w:rPr>
          <w:rFonts w:ascii="Consolas" w:cs="Consolas" w:eastAsia="Consolas" w:hAnsi="Consolas"/>
          <w:sz w:val="18"/>
          <w:szCs w:val="18"/>
        </w:rPr>
        <w:t xml:space="preserve">POST   /cases                 create a case (partial fields allowed)</w:t>
      </w:r>
      <w:r>
        <w:rPr>
          <w:rFonts w:ascii="Consolas" w:cs="Consolas" w:eastAsia="Consolas" w:hAnsi="Consolas"/>
          <w:sz w:val="18"/>
          <w:szCs w:val="18"/>
        </w:rPr>
        <w:br/>
        <w:t xml:space="preserve">GET    /cases/:id             fetch a case + its extracted entities</w:t>
      </w:r>
      <w:r>
        <w:rPr>
          <w:rFonts w:ascii="Consolas" w:cs="Consolas" w:eastAsia="Consolas" w:hAnsi="Consolas"/>
          <w:sz w:val="18"/>
          <w:szCs w:val="18"/>
        </w:rPr>
        <w:br/>
        <w:t xml:space="preserve">POST   /cases/:id/classify    run scam classifier on transcript</w:t>
      </w:r>
      <w:r>
        <w:rPr>
          <w:rFonts w:ascii="Consolas" w:cs="Consolas" w:eastAsia="Consolas" w:hAnsi="Consolas"/>
          <w:sz w:val="18"/>
          <w:szCs w:val="18"/>
        </w:rPr>
        <w:br/>
        <w:t xml:space="preserve">POST   /cases/:id/score       compute evidence links vs all other cases</w:t>
      </w:r>
      <w:r>
        <w:rPr>
          <w:rFonts w:ascii="Consolas" w:cs="Consolas" w:eastAsia="Consolas" w:hAnsi="Consolas"/>
          <w:sz w:val="18"/>
          <w:szCs w:val="18"/>
        </w:rPr>
        <w:br/>
        <w:t xml:space="preserve">GET    /rings                 list current rings/clusters</w:t>
      </w:r>
      <w:r>
        <w:rPr>
          <w:rFonts w:ascii="Consolas" w:cs="Consolas" w:eastAsia="Consolas" w:hAnsi="Consolas"/>
          <w:sz w:val="18"/>
          <w:szCs w:val="18"/>
        </w:rPr>
        <w:br/>
        <w:t xml:space="preserve">GET    /rings/:id              ring detail: members, evidence breakdown</w:t>
      </w:r>
      <w:r>
        <w:rPr>
          <w:rFonts w:ascii="Consolas" w:cs="Consolas" w:eastAsia="Consolas" w:hAnsi="Consolas"/>
          <w:sz w:val="18"/>
          <w:szCs w:val="18"/>
        </w:rPr>
        <w:br/>
        <w:t xml:space="preserve">GET    /rings/:id/recommendation   LLM reasoning + action</w:t>
      </w:r>
      <w:r>
        <w:rPr>
          <w:rFonts w:ascii="Consolas" w:cs="Consolas" w:eastAsia="Consolas" w:hAnsi="Consolas"/>
          <w:sz w:val="18"/>
          <w:szCs w:val="18"/>
        </w:rPr>
        <w:br/>
        <w:t xml:space="preserve">GET    /rings/:id/report       generate/download structured case report</w:t>
      </w:r>
      <w:r>
        <w:rPr>
          <w:rFonts w:ascii="Consolas" w:cs="Consolas" w:eastAsia="Consolas" w:hAnsi="Consolas"/>
          <w:sz w:val="18"/>
          <w:szCs w:val="18"/>
        </w:rPr>
        <w:br/>
        <w:t xml:space="preserve">GET    /rings/:id/map          case locations for the selected ring</w:t>
      </w:r>
    </w:p>
    <w:p>
      <w:pPr>
        <w:pStyle w:val="Heading2"/>
        <w:spacing w:after="150" w:before="300"/>
      </w:pPr>
      <w:r>
        <w:t xml:space="preserve">8. Non-Functional Requirements</w:t>
      </w:r>
    </w:p>
    <w:p>
      <w:pPr>
        <w:pStyle w:val="ListParagraph"/>
        <w:numPr>
          <w:ilvl w:val="0"/>
          <w:numId w:val="1"/>
        </w:numPr>
        <w:spacing w:after="80"/>
      </w:pPr>
      <w:r>
        <w:t xml:space="preserve">Demo resilience: cache/pre-compute at least one full pre-loaded ring so the live-injection demo has a guaranteed fallback if an API call is slow or fails.</w:t>
      </w:r>
    </w:p>
    <w:p>
      <w:pPr>
        <w:pStyle w:val="ListParagraph"/>
        <w:numPr>
          <w:ilvl w:val="0"/>
          <w:numId w:val="1"/>
        </w:numPr>
        <w:spacing w:after="80"/>
      </w:pPr>
      <w:r>
        <w:t xml:space="preserve">Latency: classifier + scoring for a single new case should resolve in well under 5 seconds for a live demo.</w:t>
      </w:r>
    </w:p>
    <w:p>
      <w:pPr>
        <w:pStyle w:val="ListParagraph"/>
        <w:numPr>
          <w:ilvl w:val="0"/>
          <w:numId w:val="1"/>
        </w:numPr>
        <w:spacing w:after="80"/>
      </w:pPr>
      <w:r>
        <w:t xml:space="preserve">Explainability: every ring and every recommendation must show its evidence breakdown — never a bare score with no justification, since judges will ask 'why.'</w:t>
      </w:r>
    </w:p>
    <w:p>
      <w:pPr>
        <w:pStyle w:val="ListParagraph"/>
        <w:numPr>
          <w:ilvl w:val="0"/>
          <w:numId w:val="1"/>
        </w:numPr>
        <w:spacing w:after="80"/>
      </w:pPr>
      <w:r>
        <w:t xml:space="preserve">No PII, no real data: dataset is entirely synthetic; state this proactively in the pitch (see Section 10).</w:t>
      </w:r>
    </w:p>
    <w:p>
      <w:pPr>
        <w:pStyle w:val="Heading2"/>
        <w:spacing w:after="150" w:before="300"/>
      </w:pPr>
      <w:r>
        <w:t xml:space="preserve">9. Success Metrics (mapped to judging weightage)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400"/>
      </w:tblGrid>
      <w:tr>
        <w:tc>
          <w:tcPr>
            <w:tcW w:type="dxa" w:w="2400"/>
            <w:shd w:fill="1F2937" w:val="clear"/>
            <w:tcMar>
              <w:top w:type="dxa" w:w="80"/>
              <w:left w:type="dxa" w:w="100"/>
              <w:bottom w:type="dxa" w:w="80"/>
              <w:right w:type="dxa" w:w="100"/>
            </w:tcMar>
          </w:tcPr>
          <w:p>
            <w:r>
              <w:rPr>
                <w:b/>
                <w:bCs/>
                <w:color w:val="FFFFFF"/>
                <w:sz w:val="20"/>
                <w:szCs w:val="20"/>
              </w:rPr>
              <w:t xml:space="preserve">Judging criterion</w:t>
            </w:r>
          </w:p>
        </w:tc>
        <w:tc>
          <w:tcPr>
            <w:tcW w:type="dxa" w:w="1200"/>
            <w:shd w:fill="1F2937" w:val="clear"/>
            <w:tcMar>
              <w:top w:type="dxa" w:w="80"/>
              <w:left w:type="dxa" w:w="100"/>
              <w:bottom w:type="dxa" w:w="80"/>
              <w:right w:type="dxa" w:w="100"/>
            </w:tcMar>
          </w:tcPr>
          <w:p>
            <w:r>
              <w:rPr>
                <w:b/>
                <w:bCs/>
                <w:color w:val="FFFFFF"/>
                <w:sz w:val="20"/>
                <w:szCs w:val="20"/>
              </w:rPr>
              <w:t xml:space="preserve">Weight</w:t>
            </w:r>
          </w:p>
        </w:tc>
        <w:tc>
          <w:tcPr>
            <w:tcW w:type="dxa" w:w="5400"/>
            <w:shd w:fill="1F2937" w:val="clear"/>
            <w:tcMar>
              <w:top w:type="dxa" w:w="80"/>
              <w:left w:type="dxa" w:w="100"/>
              <w:bottom w:type="dxa" w:w="80"/>
              <w:right w:type="dxa" w:w="100"/>
            </w:tcMar>
          </w:tcPr>
          <w:p>
            <w:r>
              <w:rPr>
                <w:b/>
                <w:bCs/>
                <w:color w:val="FFFFFF"/>
                <w:sz w:val="20"/>
                <w:szCs w:val="20"/>
              </w:rPr>
              <w:t xml:space="preserve">How this build earns it</w:t>
            </w:r>
          </w:p>
        </w:tc>
      </w:tr>
      <w:tr>
        <w:tc>
          <w:tcPr>
            <w:tcW w:type="dxa" w:w="2400"/>
            <w:tcMar>
              <w:top w:type="dxa" w:w="80"/>
              <w:left w:type="dxa" w:w="100"/>
              <w:bottom w:type="dxa" w:w="80"/>
              <w:right w:type="dxa" w:w="100"/>
            </w:tcMar>
          </w:tcPr>
          <w:p>
            <w:r>
              <w:rPr>
                <w:b w:val="false"/>
                <w:bCs w:val="false"/>
                <w:color w:val="000000"/>
                <w:sz w:val="20"/>
                <w:szCs w:val="20"/>
              </w:rPr>
              <w:t xml:space="preserve">Innovation</w:t>
            </w:r>
          </w:p>
        </w:tc>
        <w:tc>
          <w:tcPr>
            <w:tcW w:type="dxa" w:w="1200"/>
            <w:tcMar>
              <w:top w:type="dxa" w:w="80"/>
              <w:left w:type="dxa" w:w="100"/>
              <w:bottom w:type="dxa" w:w="80"/>
              <w:right w:type="dxa" w:w="100"/>
            </w:tcMar>
          </w:tcPr>
          <w:p>
            <w:r>
              <w:rPr>
                <w:b w:val="false"/>
                <w:bCs w:val="false"/>
                <w:color w:val="000000"/>
                <w:sz w:val="20"/>
                <w:szCs w:val="20"/>
              </w:rPr>
              <w:t xml:space="preserve">25%</w:t>
            </w:r>
          </w:p>
        </w:tc>
        <w:tc>
          <w:tcPr>
            <w:tcW w:type="dxa" w:w="5400"/>
            <w:tcMar>
              <w:top w:type="dxa" w:w="80"/>
              <w:left w:type="dxa" w:w="100"/>
              <w:bottom w:type="dxa" w:w="80"/>
              <w:right w:type="dxa" w:w="100"/>
            </w:tcMar>
          </w:tcPr>
          <w:p>
            <w:r>
              <w:rPr>
                <w:b w:val="false"/>
                <w:bCs w:val="false"/>
                <w:color w:val="000000"/>
                <w:sz w:val="20"/>
                <w:szCs w:val="20"/>
              </w:rPr>
              <w:t xml:space="preserve">Weighted multi-signal fusion + unsupervised clustering + LLM reasoning, explicitly designed to catch identifier-rotating rings — not another rule-engine-with-a-UI.</w:t>
            </w:r>
          </w:p>
        </w:tc>
      </w:tr>
      <w:tr>
        <w:tc>
          <w:tcPr>
            <w:tcW w:type="dxa" w:w="2400"/>
            <w:tcMar>
              <w:top w:type="dxa" w:w="80"/>
              <w:left w:type="dxa" w:w="100"/>
              <w:bottom w:type="dxa" w:w="80"/>
              <w:right w:type="dxa" w:w="100"/>
            </w:tcMar>
          </w:tcPr>
          <w:p>
            <w:r>
              <w:rPr>
                <w:b w:val="false"/>
                <w:bCs w:val="false"/>
                <w:color w:val="000000"/>
                <w:sz w:val="20"/>
                <w:szCs w:val="20"/>
              </w:rPr>
              <w:t xml:space="preserve">Business Impact</w:t>
            </w:r>
          </w:p>
        </w:tc>
        <w:tc>
          <w:tcPr>
            <w:tcW w:type="dxa" w:w="1200"/>
            <w:tcMar>
              <w:top w:type="dxa" w:w="80"/>
              <w:left w:type="dxa" w:w="100"/>
              <w:bottom w:type="dxa" w:w="80"/>
              <w:right w:type="dxa" w:w="100"/>
            </w:tcMar>
          </w:tcPr>
          <w:p>
            <w:r>
              <w:rPr>
                <w:b w:val="false"/>
                <w:bCs w:val="false"/>
                <w:color w:val="000000"/>
                <w:sz w:val="20"/>
                <w:szCs w:val="20"/>
              </w:rPr>
              <w:t xml:space="preserve">25%</w:t>
            </w:r>
          </w:p>
        </w:tc>
        <w:tc>
          <w:tcPr>
            <w:tcW w:type="dxa" w:w="5400"/>
            <w:tcMar>
              <w:top w:type="dxa" w:w="80"/>
              <w:left w:type="dxa" w:w="100"/>
              <w:bottom w:type="dxa" w:w="80"/>
              <w:right w:type="dxa" w:w="100"/>
            </w:tcMar>
          </w:tcPr>
          <w:p>
            <w:r>
              <w:rPr>
                <w:b w:val="false"/>
                <w:bCs w:val="false"/>
                <w:color w:val="000000"/>
                <w:sz w:val="20"/>
                <w:szCs w:val="20"/>
              </w:rPr>
              <w:t xml:space="preserve">Systemic-disruption narrative (stops the ring, not one victim) + concrete ₹-at-risk and freeze recommendation an analyst can act on same day.</w:t>
            </w:r>
          </w:p>
        </w:tc>
      </w:tr>
      <w:tr>
        <w:tc>
          <w:tcPr>
            <w:tcW w:type="dxa" w:w="2400"/>
            <w:tcMar>
              <w:top w:type="dxa" w:w="80"/>
              <w:left w:type="dxa" w:w="100"/>
              <w:bottom w:type="dxa" w:w="80"/>
              <w:right w:type="dxa" w:w="100"/>
            </w:tcMar>
          </w:tcPr>
          <w:p>
            <w:r>
              <w:rPr>
                <w:b w:val="false"/>
                <w:bCs w:val="false"/>
                <w:color w:val="000000"/>
                <w:sz w:val="20"/>
                <w:szCs w:val="20"/>
              </w:rPr>
              <w:t xml:space="preserve">Technical Excellence</w:t>
            </w:r>
          </w:p>
        </w:tc>
        <w:tc>
          <w:tcPr>
            <w:tcW w:type="dxa" w:w="1200"/>
            <w:tcMar>
              <w:top w:type="dxa" w:w="80"/>
              <w:left w:type="dxa" w:w="100"/>
              <w:bottom w:type="dxa" w:w="80"/>
              <w:right w:type="dxa" w:w="100"/>
            </w:tcMar>
          </w:tcPr>
          <w:p>
            <w:r>
              <w:rPr>
                <w:b w:val="false"/>
                <w:bCs w:val="false"/>
                <w:color w:val="000000"/>
                <w:sz w:val="20"/>
                <w:szCs w:val="20"/>
              </w:rPr>
              <w:t xml:space="preserve">20%</w:t>
            </w:r>
          </w:p>
        </w:tc>
        <w:tc>
          <w:tcPr>
            <w:tcW w:type="dxa" w:w="5400"/>
            <w:tcMar>
              <w:top w:type="dxa" w:w="80"/>
              <w:left w:type="dxa" w:w="100"/>
              <w:bottom w:type="dxa" w:w="80"/>
              <w:right w:type="dxa" w:w="100"/>
            </w:tcMar>
          </w:tcPr>
          <w:p>
            <w:r>
              <w:rPr>
                <w:b w:val="false"/>
                <w:bCs w:val="false"/>
                <w:color w:val="000000"/>
                <w:sz w:val="20"/>
                <w:szCs w:val="20"/>
              </w:rPr>
              <w:t xml:space="preserve">Real embedding-based similarity, real unsupervised graph clustering, real LLM reasoning — not an LLM wrapper alone.</w:t>
            </w:r>
          </w:p>
        </w:tc>
      </w:tr>
      <w:tr>
        <w:tc>
          <w:tcPr>
            <w:tcW w:type="dxa" w:w="2400"/>
            <w:tcMar>
              <w:top w:type="dxa" w:w="80"/>
              <w:left w:type="dxa" w:w="100"/>
              <w:bottom w:type="dxa" w:w="80"/>
              <w:right w:type="dxa" w:w="100"/>
            </w:tcMar>
          </w:tcPr>
          <w:p>
            <w:r>
              <w:rPr>
                <w:b w:val="false"/>
                <w:bCs w:val="false"/>
                <w:color w:val="000000"/>
                <w:sz w:val="20"/>
                <w:szCs w:val="20"/>
              </w:rPr>
              <w:t xml:space="preserve">Scalability</w:t>
            </w:r>
          </w:p>
        </w:tc>
        <w:tc>
          <w:tcPr>
            <w:tcW w:type="dxa" w:w="1200"/>
            <w:tcMar>
              <w:top w:type="dxa" w:w="80"/>
              <w:left w:type="dxa" w:w="100"/>
              <w:bottom w:type="dxa" w:w="80"/>
              <w:right w:type="dxa" w:w="100"/>
            </w:tcMar>
          </w:tcPr>
          <w:p>
            <w:r>
              <w:rPr>
                <w:b w:val="false"/>
                <w:bCs w:val="false"/>
                <w:color w:val="000000"/>
                <w:sz w:val="20"/>
                <w:szCs w:val="20"/>
              </w:rPr>
              <w:t xml:space="preserve">15%</w:t>
            </w:r>
          </w:p>
        </w:tc>
        <w:tc>
          <w:tcPr>
            <w:tcW w:type="dxa" w:w="5400"/>
            <w:tcMar>
              <w:top w:type="dxa" w:w="80"/>
              <w:left w:type="dxa" w:w="100"/>
              <w:bottom w:type="dxa" w:w="80"/>
              <w:right w:type="dxa" w:w="100"/>
            </w:tcMar>
          </w:tcPr>
          <w:p>
            <w:r>
              <w:rPr>
                <w:b w:val="false"/>
                <w:bCs w:val="false"/>
                <w:color w:val="000000"/>
                <w:sz w:val="20"/>
                <w:szCs w:val="20"/>
              </w:rPr>
              <w:t xml:space="preserve">Map view + report generation reuse the same graph output; architecture is stated as extensible to real bank/telecom data feeds.</w:t>
            </w:r>
          </w:p>
        </w:tc>
      </w:tr>
      <w:tr>
        <w:tc>
          <w:tcPr>
            <w:tcW w:type="dxa" w:w="2400"/>
            <w:tcMar>
              <w:top w:type="dxa" w:w="80"/>
              <w:left w:type="dxa" w:w="100"/>
              <w:bottom w:type="dxa" w:w="80"/>
              <w:right w:type="dxa" w:w="100"/>
            </w:tcMar>
          </w:tcPr>
          <w:p>
            <w:r>
              <w:rPr>
                <w:b w:val="false"/>
                <w:bCs w:val="false"/>
                <w:color w:val="000000"/>
                <w:sz w:val="20"/>
                <w:szCs w:val="20"/>
              </w:rPr>
              <w:t xml:space="preserve">User Experience</w:t>
            </w:r>
          </w:p>
        </w:tc>
        <w:tc>
          <w:tcPr>
            <w:tcW w:type="dxa" w:w="1200"/>
            <w:tcMar>
              <w:top w:type="dxa" w:w="80"/>
              <w:left w:type="dxa" w:w="100"/>
              <w:bottom w:type="dxa" w:w="80"/>
              <w:right w:type="dxa" w:w="100"/>
            </w:tcMar>
          </w:tcPr>
          <w:p>
            <w:r>
              <w:rPr>
                <w:b w:val="false"/>
                <w:bCs w:val="false"/>
                <w:color w:val="000000"/>
                <w:sz w:val="20"/>
                <w:szCs w:val="20"/>
              </w:rPr>
              <w:t xml:space="preserve">15%</w:t>
            </w:r>
          </w:p>
        </w:tc>
        <w:tc>
          <w:tcPr>
            <w:tcW w:type="dxa" w:w="5400"/>
            <w:tcMar>
              <w:top w:type="dxa" w:w="80"/>
              <w:left w:type="dxa" w:w="100"/>
              <w:bottom w:type="dxa" w:w="80"/>
              <w:right w:type="dxa" w:w="100"/>
            </w:tcMar>
          </w:tcPr>
          <w:p>
            <w:r>
              <w:rPr>
                <w:b w:val="false"/>
                <w:bCs w:val="false"/>
                <w:color w:val="000000"/>
                <w:sz w:val="20"/>
                <w:szCs w:val="20"/>
              </w:rPr>
              <w:t xml:space="preserve">One coherent 3-screen flow (intake → graph → report/map), not three disconnected demos.</w:t>
            </w:r>
          </w:p>
        </w:tc>
      </w:tr>
    </w:tbl>
    <w:p>
      <w:pPr>
        <w:pStyle w:val="Heading2"/>
        <w:spacing w:after="150" w:before="300"/>
      </w:pPr>
      <w:r>
        <w:t xml:space="preserve">10. Data Sourcing &amp; Ethics Statement</w:t>
      </w:r>
    </w:p>
    <w:p>
      <w:pPr>
        <w:spacing w:after="150"/>
      </w:pPr>
      <w:r>
        <w:t xml:space="preserve">No real fraud case, transaction, or transcript data is used or accessible in a 3-day window — bank/fintech records are protected under RBI norms and the DPDP Act, NCRB/police data is not released at case level, and real victim transcripts are private by definition. State this proactively in the pitch rather than waiting to be asked.</w:t>
      </w:r>
    </w:p>
    <w:p>
      <w:pPr>
        <w:spacing w:after="150"/>
      </w:pPr>
      <w:r>
        <w:rPr>
          <w:b/>
          <w:bCs/>
        </w:rPr>
        <w:t xml:space="preserve">What is used: </w:t>
      </w:r>
      <w:r>
        <w:t xml:space="preserve">Publicly documented aggregate statistics (MHA ₹1,776 crore figure, 1.14M cybercrime complaints) for framing; RBI/CERT-In advisory descriptions of digital-arrest scam mechanics as the structural reference for writing original synthetic transcripts; a synthetic case-record generator designed with realistic ring topology (shared devices, mule fan-out, temporal clustering, and some deliberately weak/ambiguous links so the demo doesn't look artificially clean).</w:t>
      </w:r>
    </w:p>
    <w:p>
      <w:pPr>
        <w:spacing w:after="150"/>
      </w:pPr>
      <w:r>
        <w:rPr>
          <w:b/>
          <w:bCs/>
        </w:rPr>
        <w:t xml:space="preserve">What is not claimed: </w:t>
      </w:r>
      <w:r>
        <w:t xml:space="preserve">That the dataset is real; that the tool's output is legally admissible evidence; that any production bank/telecom integration exists today.</w:t>
      </w:r>
    </w:p>
    <w:p>
      <w:pPr>
        <w:pStyle w:val="Heading2"/>
        <w:spacing w:after="150" w:before="300"/>
      </w:pPr>
      <w:r>
        <w:t xml:space="preserve">11. Risks &amp; Mitigations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F2937" w:val="clear"/>
            <w:tcMar>
              <w:top w:type="dxa" w:w="80"/>
              <w:left w:type="dxa" w:w="100"/>
              <w:bottom w:type="dxa" w:w="80"/>
              <w:right w:type="dxa" w:w="100"/>
            </w:tcMar>
          </w:tcPr>
          <w:p>
            <w:r>
              <w:rPr>
                <w:b/>
                <w:bCs/>
                <w:color w:val="FFFFFF"/>
                <w:sz w:val="20"/>
                <w:szCs w:val="20"/>
              </w:rPr>
              <w:t xml:space="preserve">Risk</w:t>
            </w:r>
          </w:p>
        </w:tc>
        <w:tc>
          <w:tcPr>
            <w:tcW w:type="dxa" w:w="6000"/>
            <w:shd w:fill="1F2937" w:val="clear"/>
            <w:tcMar>
              <w:top w:type="dxa" w:w="80"/>
              <w:left w:type="dxa" w:w="100"/>
              <w:bottom w:type="dxa" w:w="80"/>
              <w:right w:type="dxa" w:w="100"/>
            </w:tcMar>
          </w:tcPr>
          <w:p>
            <w:r>
              <w:rPr>
                <w:b/>
                <w:bCs/>
                <w:color w:val="FFFFFF"/>
                <w:sz w:val="20"/>
                <w:szCs w:val="20"/>
              </w:rPr>
              <w:t xml:space="preserve">Mitigation</w:t>
            </w:r>
          </w:p>
        </w:tc>
      </w:tr>
      <w:tr>
        <w:tc>
          <w:tcPr>
            <w:tcW w:type="dxa" w:w="3000"/>
            <w:tcMar>
              <w:top w:type="dxa" w:w="80"/>
              <w:left w:type="dxa" w:w="100"/>
              <w:bottom w:type="dxa" w:w="80"/>
              <w:right w:type="dxa" w:w="100"/>
            </w:tcMar>
          </w:tcPr>
          <w:p>
            <w:r>
              <w:rPr>
                <w:b w:val="false"/>
                <w:bCs w:val="false"/>
                <w:color w:val="000000"/>
                <w:sz w:val="20"/>
                <w:szCs w:val="20"/>
              </w:rPr>
              <w:t xml:space="preserve">Judges dismiss it as ‘exact-match with a graph UI’</w:t>
            </w:r>
          </w:p>
        </w:tc>
        <w:tc>
          <w:tcPr>
            <w:tcW w:type="dxa" w:w="6000"/>
            <w:tcMar>
              <w:top w:type="dxa" w:w="80"/>
              <w:left w:type="dxa" w:w="100"/>
              <w:bottom w:type="dxa" w:w="80"/>
              <w:right w:type="dxa" w:w="100"/>
            </w:tcMar>
          </w:tcPr>
          <w:p>
            <w:r>
              <w:rPr>
                <w:b w:val="false"/>
                <w:bCs w:val="false"/>
                <w:color w:val="000000"/>
                <w:sz w:val="20"/>
                <w:szCs w:val="20"/>
              </w:rPr>
              <w:t xml:space="preserve">Lead the pitch with the script-similarity signal explicitly — show a ring with zero shared hard identifiers, only script + behavioral evidence, to prove the point live.</w:t>
            </w:r>
          </w:p>
        </w:tc>
      </w:tr>
      <w:tr>
        <w:tc>
          <w:tcPr>
            <w:tcW w:type="dxa" w:w="3000"/>
            <w:tcMar>
              <w:top w:type="dxa" w:w="80"/>
              <w:left w:type="dxa" w:w="100"/>
              <w:bottom w:type="dxa" w:w="80"/>
              <w:right w:type="dxa" w:w="100"/>
            </w:tcMar>
          </w:tcPr>
          <w:p>
            <w:r>
              <w:rPr>
                <w:b w:val="false"/>
                <w:bCs w:val="false"/>
                <w:color w:val="000000"/>
                <w:sz w:val="20"/>
                <w:szCs w:val="20"/>
              </w:rPr>
              <w:t xml:space="preserve">Synthetic data looks lazy/random</w:t>
            </w:r>
          </w:p>
        </w:tc>
        <w:tc>
          <w:tcPr>
            <w:tcW w:type="dxa" w:w="6000"/>
            <w:tcMar>
              <w:top w:type="dxa" w:w="80"/>
              <w:left w:type="dxa" w:w="100"/>
              <w:bottom w:type="dxa" w:w="80"/>
              <w:right w:type="dxa" w:w="100"/>
            </w:tcMar>
          </w:tcPr>
          <w:p>
            <w:r>
              <w:rPr>
                <w:b w:val="false"/>
                <w:bCs w:val="false"/>
                <w:color w:val="000000"/>
                <w:sz w:val="20"/>
                <w:szCs w:val="20"/>
              </w:rPr>
              <w:t xml:space="preserve">Design the generator with intentional realistic topology: staggered timestamps, mule fan-out, city sequencing, and some ambiguous non-ring cases as negative examples.</w:t>
            </w:r>
          </w:p>
        </w:tc>
      </w:tr>
      <w:tr>
        <w:tc>
          <w:tcPr>
            <w:tcW w:type="dxa" w:w="3000"/>
            <w:tcMar>
              <w:top w:type="dxa" w:w="80"/>
              <w:left w:type="dxa" w:w="100"/>
              <w:bottom w:type="dxa" w:w="80"/>
              <w:right w:type="dxa" w:w="100"/>
            </w:tcMar>
          </w:tcPr>
          <w:p>
            <w:r>
              <w:rPr>
                <w:b w:val="false"/>
                <w:bCs w:val="false"/>
                <w:color w:val="000000"/>
                <w:sz w:val="20"/>
                <w:szCs w:val="20"/>
              </w:rPr>
              <w:t xml:space="preserve">LLM API downtime during live demo</w:t>
            </w:r>
          </w:p>
        </w:tc>
        <w:tc>
          <w:tcPr>
            <w:tcW w:type="dxa" w:w="6000"/>
            <w:tcMar>
              <w:top w:type="dxa" w:w="80"/>
              <w:left w:type="dxa" w:w="100"/>
              <w:bottom w:type="dxa" w:w="80"/>
              <w:right w:type="dxa" w:w="100"/>
            </w:tcMar>
          </w:tcPr>
          <w:p>
            <w:r>
              <w:rPr>
                <w:b w:val="false"/>
                <w:bCs w:val="false"/>
                <w:color w:val="000000"/>
                <w:sz w:val="20"/>
                <w:szCs w:val="20"/>
              </w:rPr>
              <w:t xml:space="preserve">Pre-cache responses for the exact demo script cases; have a recorded backup video ready.</w:t>
            </w:r>
          </w:p>
        </w:tc>
      </w:tr>
      <w:tr>
        <w:tc>
          <w:tcPr>
            <w:tcW w:type="dxa" w:w="3000"/>
            <w:tcMar>
              <w:top w:type="dxa" w:w="80"/>
              <w:left w:type="dxa" w:w="100"/>
              <w:bottom w:type="dxa" w:w="80"/>
              <w:right w:type="dxa" w:w="100"/>
            </w:tcMar>
          </w:tcPr>
          <w:p>
            <w:r>
              <w:rPr>
                <w:b w:val="false"/>
                <w:bCs w:val="false"/>
                <w:color w:val="000000"/>
                <w:sz w:val="20"/>
                <w:szCs w:val="20"/>
              </w:rPr>
              <w:t xml:space="preserve">‘Court-admissible’ claim challenged</w:t>
            </w:r>
          </w:p>
        </w:tc>
        <w:tc>
          <w:tcPr>
            <w:tcW w:type="dxa" w:w="6000"/>
            <w:tcMar>
              <w:top w:type="dxa" w:w="80"/>
              <w:left w:type="dxa" w:w="100"/>
              <w:bottom w:type="dxa" w:w="80"/>
              <w:right w:type="dxa" w:w="100"/>
            </w:tcMar>
          </w:tcPr>
          <w:p>
            <w:r>
              <w:rPr>
                <w:b w:val="false"/>
                <w:bCs w:val="false"/>
                <w:color w:val="000000"/>
                <w:sz w:val="20"/>
                <w:szCs w:val="20"/>
              </w:rPr>
              <w:t xml:space="preserve">Proactively reframe in the pitch as ‘investigator handoff package,’ never claim legal admissibility.</w:t>
            </w:r>
          </w:p>
        </w:tc>
      </w:tr>
      <w:tr>
        <w:tc>
          <w:tcPr>
            <w:tcW w:type="dxa" w:w="3000"/>
            <w:tcMar>
              <w:top w:type="dxa" w:w="80"/>
              <w:left w:type="dxa" w:w="100"/>
              <w:bottom w:type="dxa" w:w="80"/>
              <w:right w:type="dxa" w:w="100"/>
            </w:tcMar>
          </w:tcPr>
          <w:p>
            <w:r>
              <w:rPr>
                <w:b w:val="false"/>
                <w:bCs w:val="false"/>
                <w:color w:val="000000"/>
                <w:sz w:val="20"/>
                <w:szCs w:val="20"/>
              </w:rPr>
              <w:t xml:space="preserve">Clustering threshold looks arbitrary</w:t>
            </w:r>
          </w:p>
        </w:tc>
        <w:tc>
          <w:tcPr>
            <w:tcW w:type="dxa" w:w="6000"/>
            <w:tcMar>
              <w:top w:type="dxa" w:w="80"/>
              <w:left w:type="dxa" w:w="100"/>
              <w:bottom w:type="dxa" w:w="80"/>
              <w:right w:type="dxa" w:w="100"/>
            </w:tcMar>
          </w:tcPr>
          <w:p>
            <w:r>
              <w:rPr>
                <w:b w:val="false"/>
                <w:bCs w:val="false"/>
                <w:color w:val="000000"/>
                <w:sz w:val="20"/>
                <w:szCs w:val="20"/>
              </w:rPr>
              <w:t xml:space="preserve">Document the weighting (0.45/0.35/0.20) and floor value, and be ready to explain the reasoning — treat it as a tunable parameter, not a magic number.</w:t>
            </w:r>
          </w:p>
        </w:tc>
      </w:tr>
    </w:tbl>
    <w:p>
      <w:r>
        <w:br w:type="page"/>
      </w:r>
    </w:p>
    <w:p>
      <w:pPr>
        <w:pStyle w:val="Heading1"/>
        <w:spacing w:after="200" w:before="400"/>
      </w:pPr>
      <w:r>
        <w:t xml:space="preserve">PART B — STEP-BY-STEP DEVELOPMENT GUIDE</w:t>
      </w:r>
    </w:p>
    <w:p>
      <w:pPr>
        <w:spacing w:after="150"/>
      </w:pPr>
      <w:r>
        <w:t xml:space="preserve">Hour-by-hour plan across 3 days. Adjust pacing to your team's actual velocity, but do not skip the Day 1 data + scoring foundation to get to UI faster — a good graph screen on top of broken scoring logic is worse than a plain screen on top of logic that actually works.</w:t>
      </w:r>
    </w:p>
    <w:p>
      <w:pPr>
        <w:pStyle w:val="Heading2"/>
        <w:spacing w:after="150" w:before="300"/>
      </w:pPr>
      <w:r>
        <w:t xml:space="preserve">Day 1 — Foundation (data, classifier, scoring logic)</w:t>
      </w:r>
    </w:p>
    <w:p>
      <w:pPr>
        <w:pStyle w:val="ListParagraph"/>
        <w:numPr>
          <w:ilvl w:val="0"/>
          <w:numId w:val="1"/>
        </w:numPr>
        <w:spacing w:after="80"/>
      </w:pPr>
      <w:r>
        <w:t xml:space="preserve">Hr 1–2: Repo scaffold — backend + frontend skeleton, Postgres/SQLite schema from Section 6, environment variables set up.</w:t>
      </w:r>
    </w:p>
    <w:p>
      <w:pPr>
        <w:pStyle w:val="ListParagraph"/>
        <w:numPr>
          <w:ilvl w:val="0"/>
          <w:numId w:val="1"/>
        </w:numPr>
        <w:spacing w:after="80"/>
      </w:pPr>
      <w:r>
        <w:t xml:space="preserve">Hr 3–5: Write the synthetic dataset generator — 30–50 cases across 4–6 rings, with realistic topology (shared devices/mule fan-out for some rings, script-only overlap with zero shared identifiers for at least one ring, and 8–10 unrelated singleton cases as negative examples).</w:t>
      </w:r>
    </w:p>
    <w:p>
      <w:pPr>
        <w:pStyle w:val="ListParagraph"/>
        <w:numPr>
          <w:ilvl w:val="0"/>
          <w:numId w:val="1"/>
        </w:numPr>
        <w:spacing w:after="80"/>
      </w:pPr>
      <w:r>
        <w:t xml:space="preserve">Hr 6–8: Build and test the scam classifier prompt (Section 5.2) against 10+ synthetic transcripts; verify risk_score and entity extraction accuracy by hand.</w:t>
      </w:r>
    </w:p>
    <w:p>
      <w:pPr>
        <w:pStyle w:val="ListParagraph"/>
        <w:numPr>
          <w:ilvl w:val="0"/>
          <w:numId w:val="1"/>
        </w:numPr>
        <w:spacing w:after="80"/>
      </w:pPr>
      <w:r>
        <w:t xml:space="preserve">Hr 9–10: Wire the embedding service (Section 5.3) — embed every synthetic transcript, compute pairwise cosine similarity, sanity-check that same-script transcripts cluster close together.</w:t>
      </w:r>
    </w:p>
    <w:p>
      <w:pPr>
        <w:pStyle w:val="ListParagraph"/>
        <w:numPr>
          <w:ilvl w:val="0"/>
          <w:numId w:val="1"/>
        </w:numPr>
        <w:spacing w:after="80"/>
      </w:pPr>
      <w:r>
        <w:t xml:space="preserve">Hr 11–12: Implement the exact-identifier and behavioral-proximity scorers, combine into the weighted score (Section 5.3), validate against the known synthetic ring ground-truth you designed.</w:t>
      </w:r>
    </w:p>
    <w:p>
      <w:pPr>
        <w:pStyle w:val="Heading2"/>
        <w:spacing w:after="150" w:before="300"/>
      </w:pPr>
      <w:r>
        <w:t xml:space="preserve">Day 2 — Clustering, reasoning, and the front end</w:t>
      </w:r>
    </w:p>
    <w:p>
      <w:pPr>
        <w:pStyle w:val="ListParagraph"/>
        <w:numPr>
          <w:ilvl w:val="0"/>
          <w:numId w:val="1"/>
        </w:numPr>
        <w:spacing w:after="80"/>
      </w:pPr>
      <w:r>
        <w:t xml:space="preserve">Hr 1–3: Build the graph store (NetworkX) and run Louvain clustering over the scored edges; validate rings recovered match the synthetic ground-truth rings.</w:t>
      </w:r>
    </w:p>
    <w:p>
      <w:pPr>
        <w:pStyle w:val="ListParagraph"/>
        <w:numPr>
          <w:ilvl w:val="0"/>
          <w:numId w:val="1"/>
        </w:numPr>
        <w:spacing w:after="80"/>
      </w:pPr>
      <w:r>
        <w:t xml:space="preserve">Hr 4–5: Wire the LLM recommendation/reasoning step (Section 5.5) with the deterministic fallback rule as a code-level backup path.</w:t>
      </w:r>
    </w:p>
    <w:p>
      <w:pPr>
        <w:pStyle w:val="ListParagraph"/>
        <w:numPr>
          <w:ilvl w:val="0"/>
          <w:numId w:val="1"/>
        </w:numPr>
        <w:spacing w:after="80"/>
      </w:pPr>
      <w:r>
        <w:t xml:space="preserve">Hr 6–9: Build Screen 1 (Case Intake) and Screen 2 (Graph view) in the frontend, wire to backend end to end.</w:t>
      </w:r>
    </w:p>
    <w:p>
      <w:pPr>
        <w:pStyle w:val="ListParagraph"/>
        <w:numPr>
          <w:ilvl w:val="0"/>
          <w:numId w:val="1"/>
        </w:numPr>
        <w:spacing w:after="80"/>
      </w:pPr>
      <w:r>
        <w:t xml:space="preserve">Hr 10–12: Start the architecture diagram for the deck; draft the business-impact numbers (defensible, not inflated) using the synthetic dataset's own totals.</w:t>
      </w:r>
    </w:p>
    <w:p>
      <w:pPr>
        <w:pStyle w:val="Heading2"/>
        <w:spacing w:after="150" w:before="300"/>
      </w:pPr>
      <w:r>
        <w:t xml:space="preserve">Day 3 — Report, map, polish, rehearsal</w:t>
      </w:r>
    </w:p>
    <w:p>
      <w:pPr>
        <w:pStyle w:val="ListParagraph"/>
        <w:numPr>
          <w:ilvl w:val="0"/>
          <w:numId w:val="1"/>
        </w:numPr>
        <w:spacing w:after="80"/>
      </w:pPr>
      <w:r>
        <w:t xml:space="preserve">Morning Hr 1–2: Build Screen 3 (Case Report) — downloadable structured output.</w:t>
      </w:r>
    </w:p>
    <w:p>
      <w:pPr>
        <w:pStyle w:val="ListParagraph"/>
        <w:numPr>
          <w:ilvl w:val="0"/>
          <w:numId w:val="1"/>
        </w:numPr>
        <w:spacing w:after="80"/>
      </w:pPr>
      <w:r>
        <w:t xml:space="preserve">Morning Hr 3–4: Build the thin map view (Section 5.7), wired to ring selection.</w:t>
      </w:r>
    </w:p>
    <w:p>
      <w:pPr>
        <w:pStyle w:val="ListParagraph"/>
        <w:numPr>
          <w:ilvl w:val="0"/>
          <w:numId w:val="1"/>
        </w:numPr>
        <w:spacing w:after="80"/>
      </w:pPr>
      <w:r>
        <w:t xml:space="preserve">Morning Hr 5–6: UX polish pass — investigator-console visual direction (see Antigravity prompt), not a generic AI-dashboard look.</w:t>
      </w:r>
    </w:p>
    <w:p>
      <w:pPr>
        <w:pStyle w:val="ListParagraph"/>
        <w:numPr>
          <w:ilvl w:val="0"/>
          <w:numId w:val="1"/>
        </w:numPr>
        <w:spacing w:after="80"/>
      </w:pPr>
      <w:r>
        <w:t xml:space="preserve">Afternoon Hr 1–2: Record the demo video and finalize the deck.</w:t>
      </w:r>
    </w:p>
    <w:p>
      <w:pPr>
        <w:pStyle w:val="ListParagraph"/>
        <w:numPr>
          <w:ilvl w:val="0"/>
          <w:numId w:val="1"/>
        </w:numPr>
        <w:spacing w:after="80"/>
      </w:pPr>
      <w:r>
        <w:t xml:space="preserve">Afternoon Hr 3–4: Rehearse the pitch — lead with a specific human fraud scenario, then the live demo (submit a new complaint, watch it snap onto an existing script-only-linked cluster), then the numbers, then the honest data-sourcing statement.</w:t>
      </w:r>
    </w:p>
    <w:p>
      <w:pPr>
        <w:pStyle w:val="ListParagraph"/>
        <w:numPr>
          <w:ilvl w:val="0"/>
          <w:numId w:val="1"/>
        </w:numPr>
        <w:spacing w:after="80"/>
      </w:pPr>
      <w:r>
        <w:t xml:space="preserve">Afternoon Hr 5: Code freeze — confirm the pre-cached fallback path works with network disabled, as a dry run of worst-case demo conditions.</w:t>
      </w:r>
    </w:p>
    <w:p>
      <w:r>
        <w:br w:type="page"/>
      </w:r>
    </w:p>
    <w:p>
      <w:pPr>
        <w:pStyle w:val="Heading1"/>
        <w:spacing w:after="200" w:before="400"/>
      </w:pPr>
      <w:r>
        <w:t xml:space="preserve">PART C — DEPLOYMENT GUIDE</w:t>
      </w:r>
    </w:p>
    <w:p>
      <w:pPr>
        <w:pStyle w:val="Heading2"/>
        <w:spacing w:after="150" w:before="300"/>
      </w:pPr>
      <w:r>
        <w:t xml:space="preserve">1. Local development</w:t>
      </w:r>
    </w:p>
    <w:p>
      <w:pPr>
        <w:pBdr>
          <w:top w:val="single" w:color="CCCCCC" w:sz="2"/>
          <w:bottom w:val="single" w:color="CCCCCC" w:sz="2"/>
          <w:left w:val="single" w:color="CCCCCC" w:sz="2"/>
          <w:right w:val="single" w:color="CCCCCC" w:sz="2"/>
        </w:pBdr>
        <w:shd w:fill="F5F5F5" w:val="clear"/>
        <w:spacing w:after="150"/>
      </w:pPr>
      <w:r>
        <w:rPr>
          <w:rFonts w:ascii="Consolas" w:cs="Consolas" w:eastAsia="Consolas" w:hAnsi="Consolas"/>
          <w:sz w:val="18"/>
          <w:szCs w:val="18"/>
        </w:rPr>
        <w:t xml:space="preserve"># backend</w:t>
      </w:r>
      <w:r>
        <w:rPr>
          <w:rFonts w:ascii="Consolas" w:cs="Consolas" w:eastAsia="Consolas" w:hAnsi="Consolas"/>
          <w:sz w:val="18"/>
          <w:szCs w:val="18"/>
        </w:rPr>
        <w:br/>
        <w:t xml:space="preserve">cd backend &amp;&amp; cp .env.example .env   # fill in LLM_API_KEY, EMBEDDING_API_KEY, DATABASE_URL</w:t>
      </w:r>
      <w:r>
        <w:rPr>
          <w:rFonts w:ascii="Consolas" w:cs="Consolas" w:eastAsia="Consolas" w:hAnsi="Consolas"/>
          <w:sz w:val="18"/>
          <w:szCs w:val="18"/>
        </w:rPr>
        <w:br/>
        <w:t xml:space="preserve">pip install -r requirements.txt</w:t>
      </w:r>
      <w:r>
        <w:rPr>
          <w:rFonts w:ascii="Consolas" w:cs="Consolas" w:eastAsia="Consolas" w:hAnsi="Consolas"/>
          <w:sz w:val="18"/>
          <w:szCs w:val="18"/>
        </w:rPr>
        <w:br/>
        <w:t xml:space="preserve">uvicorn app.main:app --reload --port 8000</w:t>
      </w:r>
      <w:r>
        <w:rPr>
          <w:rFonts w:ascii="Consolas" w:cs="Consolas" w:eastAsia="Consolas" w:hAnsi="Consolas"/>
          <w:sz w:val="18"/>
          <w:szCs w:val="18"/>
        </w:rPr>
        <w:br/>
        <w:t xml:space="preserve"/>
      </w:r>
      <w:r>
        <w:rPr>
          <w:rFonts w:ascii="Consolas" w:cs="Consolas" w:eastAsia="Consolas" w:hAnsi="Consolas"/>
          <w:sz w:val="18"/>
          <w:szCs w:val="18"/>
        </w:rPr>
        <w:br/>
        <w:t xml:space="preserve"># frontend</w:t>
      </w:r>
      <w:r>
        <w:rPr>
          <w:rFonts w:ascii="Consolas" w:cs="Consolas" w:eastAsia="Consolas" w:hAnsi="Consolas"/>
          <w:sz w:val="18"/>
          <w:szCs w:val="18"/>
        </w:rPr>
        <w:br/>
        <w:t xml:space="preserve">cd frontend &amp;&amp; npm install</w:t>
      </w:r>
      <w:r>
        <w:rPr>
          <w:rFonts w:ascii="Consolas" w:cs="Consolas" w:eastAsia="Consolas" w:hAnsi="Consolas"/>
          <w:sz w:val="18"/>
          <w:szCs w:val="18"/>
        </w:rPr>
        <w:br/>
        <w:t xml:space="preserve">npm run dev</w:t>
      </w:r>
    </w:p>
    <w:p>
      <w:pPr>
        <w:pStyle w:val="Heading2"/>
        <w:spacing w:after="150" w:before="300"/>
      </w:pPr>
      <w:r>
        <w:t xml:space="preserve">2. Environment variables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F2937" w:val="clear"/>
            <w:tcMar>
              <w:top w:type="dxa" w:w="80"/>
              <w:left w:type="dxa" w:w="100"/>
              <w:bottom w:type="dxa" w:w="80"/>
              <w:right w:type="dxa" w:w="100"/>
            </w:tcMar>
          </w:tcPr>
          <w:p>
            <w:r>
              <w:rPr>
                <w:b/>
                <w:bCs/>
                <w:color w:val="FFFFFF"/>
                <w:sz w:val="20"/>
                <w:szCs w:val="20"/>
              </w:rPr>
              <w:t xml:space="preserve">Variable</w:t>
            </w:r>
          </w:p>
        </w:tc>
        <w:tc>
          <w:tcPr>
            <w:tcW w:type="dxa" w:w="6000"/>
            <w:shd w:fill="1F2937" w:val="clear"/>
            <w:tcMar>
              <w:top w:type="dxa" w:w="80"/>
              <w:left w:type="dxa" w:w="100"/>
              <w:bottom w:type="dxa" w:w="80"/>
              <w:right w:type="dxa" w:w="100"/>
            </w:tcMar>
          </w:tcPr>
          <w:p>
            <w:r>
              <w:rPr>
                <w:b/>
                <w:bCs/>
                <w:color w:val="FFFFFF"/>
                <w:sz w:val="20"/>
                <w:szCs w:val="20"/>
              </w:rPr>
              <w:t xml:space="preserve">Purpose</w:t>
            </w:r>
          </w:p>
        </w:tc>
      </w:tr>
      <w:tr>
        <w:tc>
          <w:tcPr>
            <w:tcW w:type="dxa" w:w="3000"/>
            <w:tcMar>
              <w:top w:type="dxa" w:w="80"/>
              <w:left w:type="dxa" w:w="100"/>
              <w:bottom w:type="dxa" w:w="80"/>
              <w:right w:type="dxa" w:w="100"/>
            </w:tcMar>
          </w:tcPr>
          <w:p>
            <w:r>
              <w:rPr>
                <w:b w:val="false"/>
                <w:bCs w:val="false"/>
                <w:color w:val="000000"/>
                <w:sz w:val="20"/>
                <w:szCs w:val="20"/>
              </w:rPr>
              <w:t xml:space="preserve">LLM_API_KEY</w:t>
            </w:r>
          </w:p>
        </w:tc>
        <w:tc>
          <w:tcPr>
            <w:tcW w:type="dxa" w:w="6000"/>
            <w:tcMar>
              <w:top w:type="dxa" w:w="80"/>
              <w:left w:type="dxa" w:w="100"/>
              <w:bottom w:type="dxa" w:w="80"/>
              <w:right w:type="dxa" w:w="100"/>
            </w:tcMar>
          </w:tcPr>
          <w:p>
            <w:r>
              <w:rPr>
                <w:b w:val="false"/>
                <w:bCs w:val="false"/>
                <w:color w:val="000000"/>
                <w:sz w:val="20"/>
                <w:szCs w:val="20"/>
              </w:rPr>
              <w:t xml:space="preserve">Scam classifier + recommendation reasoning calls</w:t>
            </w:r>
          </w:p>
        </w:tc>
      </w:tr>
      <w:tr>
        <w:tc>
          <w:tcPr>
            <w:tcW w:type="dxa" w:w="3000"/>
            <w:tcMar>
              <w:top w:type="dxa" w:w="80"/>
              <w:left w:type="dxa" w:w="100"/>
              <w:bottom w:type="dxa" w:w="80"/>
              <w:right w:type="dxa" w:w="100"/>
            </w:tcMar>
          </w:tcPr>
          <w:p>
            <w:r>
              <w:rPr>
                <w:b w:val="false"/>
                <w:bCs w:val="false"/>
                <w:color w:val="000000"/>
                <w:sz w:val="20"/>
                <w:szCs w:val="20"/>
              </w:rPr>
              <w:t xml:space="preserve">EMBEDDING_API_KEY</w:t>
            </w:r>
          </w:p>
        </w:tc>
        <w:tc>
          <w:tcPr>
            <w:tcW w:type="dxa" w:w="6000"/>
            <w:tcMar>
              <w:top w:type="dxa" w:w="80"/>
              <w:left w:type="dxa" w:w="100"/>
              <w:bottom w:type="dxa" w:w="80"/>
              <w:right w:type="dxa" w:w="100"/>
            </w:tcMar>
          </w:tcPr>
          <w:p>
            <w:r>
              <w:rPr>
                <w:b w:val="false"/>
                <w:bCs w:val="false"/>
                <w:color w:val="000000"/>
                <w:sz w:val="20"/>
                <w:szCs w:val="20"/>
              </w:rPr>
              <w:t xml:space="preserve">Script-similarity embeddings (or leave unset to use local sentence-transformers fallback)</w:t>
            </w:r>
          </w:p>
        </w:tc>
      </w:tr>
      <w:tr>
        <w:tc>
          <w:tcPr>
            <w:tcW w:type="dxa" w:w="3000"/>
            <w:tcMar>
              <w:top w:type="dxa" w:w="80"/>
              <w:left w:type="dxa" w:w="100"/>
              <w:bottom w:type="dxa" w:w="80"/>
              <w:right w:type="dxa" w:w="100"/>
            </w:tcMar>
          </w:tcPr>
          <w:p>
            <w:r>
              <w:rPr>
                <w:b w:val="false"/>
                <w:bCs w:val="false"/>
                <w:color w:val="000000"/>
                <w:sz w:val="20"/>
                <w:szCs w:val="20"/>
              </w:rPr>
              <w:t xml:space="preserve">DATABASE_URL</w:t>
            </w:r>
          </w:p>
        </w:tc>
        <w:tc>
          <w:tcPr>
            <w:tcW w:type="dxa" w:w="6000"/>
            <w:tcMar>
              <w:top w:type="dxa" w:w="80"/>
              <w:left w:type="dxa" w:w="100"/>
              <w:bottom w:type="dxa" w:w="80"/>
              <w:right w:type="dxa" w:w="100"/>
            </w:tcMar>
          </w:tcPr>
          <w:p>
            <w:r>
              <w:rPr>
                <w:b w:val="false"/>
                <w:bCs w:val="false"/>
                <w:color w:val="000000"/>
                <w:sz w:val="20"/>
                <w:szCs w:val="20"/>
              </w:rPr>
              <w:t xml:space="preserve">Postgres/SQLite connection string</w:t>
            </w:r>
          </w:p>
        </w:tc>
      </w:tr>
      <w:tr>
        <w:tc>
          <w:tcPr>
            <w:tcW w:type="dxa" w:w="3000"/>
            <w:tcMar>
              <w:top w:type="dxa" w:w="80"/>
              <w:left w:type="dxa" w:w="100"/>
              <w:bottom w:type="dxa" w:w="80"/>
              <w:right w:type="dxa" w:w="100"/>
            </w:tcMar>
          </w:tcPr>
          <w:p>
            <w:r>
              <w:rPr>
                <w:b w:val="false"/>
                <w:bCs w:val="false"/>
                <w:color w:val="000000"/>
                <w:sz w:val="20"/>
                <w:szCs w:val="20"/>
              </w:rPr>
              <w:t xml:space="preserve">RING_SCORE_FLOOR</w:t>
            </w:r>
          </w:p>
        </w:tc>
        <w:tc>
          <w:tcPr>
            <w:tcW w:type="dxa" w:w="6000"/>
            <w:tcMar>
              <w:top w:type="dxa" w:w="80"/>
              <w:left w:type="dxa" w:w="100"/>
              <w:bottom w:type="dxa" w:w="80"/>
              <w:right w:type="dxa" w:w="100"/>
            </w:tcMar>
          </w:tcPr>
          <w:p>
            <w:r>
              <w:rPr>
                <w:b w:val="false"/>
                <w:bCs w:val="false"/>
                <w:color w:val="000000"/>
                <w:sz w:val="20"/>
                <w:szCs w:val="20"/>
              </w:rPr>
              <w:t xml:space="preserve">Minimum combined score to draw an edge (default 0.3)</w:t>
            </w:r>
          </w:p>
        </w:tc>
      </w:tr>
      <w:tr>
        <w:tc>
          <w:tcPr>
            <w:tcW w:type="dxa" w:w="3000"/>
            <w:tcMar>
              <w:top w:type="dxa" w:w="80"/>
              <w:left w:type="dxa" w:w="100"/>
              <w:bottom w:type="dxa" w:w="80"/>
              <w:right w:type="dxa" w:w="100"/>
            </w:tcMar>
          </w:tcPr>
          <w:p>
            <w:r>
              <w:rPr>
                <w:b w:val="false"/>
                <w:bCs w:val="false"/>
                <w:color w:val="000000"/>
                <w:sz w:val="20"/>
                <w:szCs w:val="20"/>
              </w:rPr>
              <w:t xml:space="preserve">FREEZE_THRESHOLD</w:t>
            </w:r>
          </w:p>
        </w:tc>
        <w:tc>
          <w:tcPr>
            <w:tcW w:type="dxa" w:w="6000"/>
            <w:tcMar>
              <w:top w:type="dxa" w:w="80"/>
              <w:left w:type="dxa" w:w="100"/>
              <w:bottom w:type="dxa" w:w="80"/>
              <w:right w:type="dxa" w:w="100"/>
            </w:tcMar>
          </w:tcPr>
          <w:p>
            <w:r>
              <w:rPr>
                <w:b w:val="false"/>
                <w:bCs w:val="false"/>
                <w:color w:val="000000"/>
                <w:sz w:val="20"/>
                <w:szCs w:val="20"/>
              </w:rPr>
              <w:t xml:space="preserve">Deterministic fallback threshold (default 0.6) if LLM reasoning is unavailable</w:t>
            </w:r>
          </w:p>
        </w:tc>
      </w:tr>
    </w:tbl>
    <w:p>
      <w:pPr>
        <w:pStyle w:val="Heading2"/>
        <w:spacing w:after="150" w:before="300"/>
      </w:pPr>
      <w:r>
        <w:t xml:space="preserve">3. Hosted deployment (recommended for judge-accessible demo link)</w:t>
      </w:r>
    </w:p>
    <w:p>
      <w:pPr>
        <w:pStyle w:val="ListParagraph"/>
        <w:numPr>
          <w:ilvl w:val="0"/>
          <w:numId w:val="1"/>
        </w:numPr>
        <w:spacing w:after="80"/>
      </w:pPr>
      <w:r>
        <w:t xml:space="preserve">Frontend → Vercel or Netlify (static build + API proxy to backend).</w:t>
      </w:r>
    </w:p>
    <w:p>
      <w:pPr>
        <w:pStyle w:val="ListParagraph"/>
        <w:numPr>
          <w:ilvl w:val="0"/>
          <w:numId w:val="1"/>
        </w:numPr>
        <w:spacing w:after="80"/>
      </w:pPr>
      <w:r>
        <w:t xml:space="preserve">Backend → Render or Railway (FastAPI/Express service).</w:t>
      </w:r>
    </w:p>
    <w:p>
      <w:pPr>
        <w:pStyle w:val="ListParagraph"/>
        <w:numPr>
          <w:ilvl w:val="0"/>
          <w:numId w:val="1"/>
        </w:numPr>
        <w:spacing w:after="80"/>
      </w:pPr>
      <w:r>
        <w:t xml:space="preserve">Database → Supabase or Neon (managed Postgres, generous free tier).</w:t>
      </w:r>
    </w:p>
    <w:p>
      <w:pPr>
        <w:pStyle w:val="ListParagraph"/>
        <w:numPr>
          <w:ilvl w:val="0"/>
          <w:numId w:val="1"/>
        </w:numPr>
        <w:spacing w:after="80"/>
      </w:pPr>
      <w:r>
        <w:t xml:space="preserve">Seed the hosted database with the synthetic dataset at deploy time, not live during the demo.</w:t>
      </w:r>
    </w:p>
    <w:p>
      <w:pPr>
        <w:pStyle w:val="Heading2"/>
        <w:spacing w:after="150" w:before="300"/>
      </w:pPr>
      <w:r>
        <w:t xml:space="preserve">4. Pre-demo checklist</w:t>
      </w:r>
    </w:p>
    <w:p>
      <w:pPr>
        <w:pStyle w:val="ListParagraph"/>
        <w:numPr>
          <w:ilvl w:val="0"/>
          <w:numId w:val="1"/>
        </w:numPr>
        <w:spacing w:after="80"/>
      </w:pPr>
      <w:r>
        <w:t xml:space="preserve">Seed data loaded and verified in the hosted environment, not just locally.</w:t>
      </w:r>
    </w:p>
    <w:p>
      <w:pPr>
        <w:pStyle w:val="ListParagraph"/>
        <w:numPr>
          <w:ilvl w:val="0"/>
          <w:numId w:val="1"/>
        </w:numPr>
        <w:spacing w:after="80"/>
      </w:pPr>
      <w:r>
        <w:t xml:space="preserve">At least one fully pre-computed ring cached, for the fallback path if live API calls are slow.</w:t>
      </w:r>
    </w:p>
    <w:p>
      <w:pPr>
        <w:pStyle w:val="ListParagraph"/>
        <w:numPr>
          <w:ilvl w:val="0"/>
          <w:numId w:val="1"/>
        </w:numPr>
        <w:spacing w:after="80"/>
      </w:pPr>
      <w:r>
        <w:t xml:space="preserve">API keys valid and rate limits checked — test the exact demo sequence twice beforehand.</w:t>
      </w:r>
    </w:p>
    <w:p>
      <w:pPr>
        <w:pStyle w:val="ListParagraph"/>
        <w:numPr>
          <w:ilvl w:val="0"/>
          <w:numId w:val="1"/>
        </w:numPr>
        <w:spacing w:after="80"/>
      </w:pPr>
      <w:r>
        <w:t xml:space="preserve">Demo script cases (the specific transcript/case you'll paste live) tested end to end at least 3 times.</w:t>
      </w:r>
    </w:p>
    <w:p>
      <w:pPr>
        <w:pStyle w:val="ListParagraph"/>
        <w:numPr>
          <w:ilvl w:val="0"/>
          <w:numId w:val="1"/>
        </w:numPr>
        <w:spacing w:after="80"/>
      </w:pPr>
      <w:r>
        <w:t xml:space="preserve">Backup demo video recorded, in case of live network failure.</w:t>
      </w:r>
    </w:p>
    <w:p>
      <w:pPr>
        <w:pStyle w:val="ListParagraph"/>
        <w:numPr>
          <w:ilvl w:val="0"/>
          <w:numId w:val="1"/>
        </w:numPr>
        <w:spacing w:after="80"/>
      </w:pPr>
      <w:r>
        <w:t xml:space="preserve">Browser/device the demo will run on tested directly — not just a different laptop.</w:t>
      </w:r>
    </w:p>
    <w:p>
      <w:r>
        <w:br w:type="page"/>
      </w:r>
    </w:p>
    <w:p>
      <w:pPr>
        <w:pStyle w:val="Heading1"/>
        <w:spacing w:after="200" w:before="400"/>
      </w:pPr>
      <w:r>
        <w:t xml:space="preserve">PART D — ANTIGRAVITY BUILD PROMPT</w:t>
      </w:r>
    </w:p>
    <w:p>
      <w:pPr>
        <w:spacing w:after="150"/>
      </w:pPr>
      <w:r>
        <w:t xml:space="preserve">The full prompt is provided as a standalone file (RingBreaker_Antigravity_Prompt.md) for direct copy-paste into Antigravity. It is reproduced in summary form here for reference; use the standalone file as the actual input.</w:t>
      </w:r>
    </w:p>
    <w:p>
      <w:pPr>
        <w:spacing w:after="150"/>
      </w:pPr>
      <w:r>
        <w:t xml:space="preserve">The prompt instructs Antigravity to scaffold the entire stack in one pass — schema, synthetic data generator, classifier, embedding-based scoring, clustering, LLM reasoning, and all three screens — with an explicit investigator-console visual direction rather than a generic AI-dashboard theme, and to seed realistic demo data automatically on first run so the app is demoable immediately after generation.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2026-07-22T12:24:41.007Z</dcterms:created>
  <dcterms:modified xsi:type="dcterms:W3CDTF">2026-07-22T12:24:41.021Z</dcterms:modified>
</cp:coreProperties>
</file>

<file path=docProps/custom.xml><?xml version="1.0" encoding="utf-8"?>
<Properties xmlns="http://schemas.openxmlformats.org/officeDocument/2006/custom-properties" xmlns:vt="http://schemas.openxmlformats.org/officeDocument/2006/docPropsVTypes"/>
</file>