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IEC</w:t>
      </w:r>
      <w:r>
        <w:t xml:space="preserve"> </w:t>
      </w:r>
      <w:r>
        <w:t xml:space="preserve">CIM:</w:t>
      </w:r>
      <w:r>
        <w:t xml:space="preserve"> </w:t>
      </w:r>
      <w:r>
        <w:t xml:space="preserve">Implementation</w:t>
      </w:r>
      <w:r>
        <w:t xml:space="preserve"> </w:t>
      </w:r>
      <w:r>
        <w:t xml:space="preserve">Reference</w:t>
      </w:r>
    </w:p>
    <w:p>
      <w:pPr>
        <w:pStyle w:val="Subtitle"/>
      </w:pPr>
      <w:r>
        <w:t xml:space="preserve">Verified</w:t>
      </w:r>
      <w:r>
        <w:t xml:space="preserve"> </w:t>
      </w:r>
      <w:r>
        <w:t xml:space="preserve">working</w:t>
      </w:r>
      <w:r>
        <w:t xml:space="preserve"> </w:t>
      </w:r>
      <w:r>
        <w:t xml:space="preserve">notes</w:t>
      </w:r>
      <w:r>
        <w:t xml:space="preserve"> </w:t>
      </w:r>
      <w:r>
        <w:t xml:space="preserve">for</w:t>
      </w:r>
      <w:r>
        <w:t xml:space="preserve"> </w:t>
      </w:r>
      <w:r>
        <w:t xml:space="preserve">a</w:t>
      </w:r>
      <w:r>
        <w:t xml:space="preserve"> </w:t>
      </w:r>
      <w:r>
        <w:t xml:space="preserve">smart</w:t>
      </w:r>
      <w:r>
        <w:t xml:space="preserve"> </w:t>
      </w:r>
      <w:r>
        <w:t xml:space="preserve">meter</w:t>
      </w:r>
      <w:r>
        <w:t xml:space="preserve"> </w:t>
      </w:r>
      <w:r>
        <w:t xml:space="preserve">data</w:t>
      </w:r>
      <w:r>
        <w:t xml:space="preserve"> </w:t>
      </w:r>
      <w:r>
        <w:t xml:space="preserve">platform</w:t>
      </w:r>
    </w:p>
    <w:p>
      <w:pPr>
        <w:pStyle w:val="Date"/>
      </w:pPr>
      <w:r>
        <w:t xml:space="preserve">18</w:t>
      </w:r>
      <w:r>
        <w:t xml:space="preserve"> </w:t>
      </w:r>
      <w:r>
        <w:t xml:space="preserve">September</w:t>
      </w:r>
      <w:r>
        <w:t xml:space="preserve"> </w:t>
      </w:r>
      <w:r>
        <w:t xml:space="preserve">2026</w:t>
      </w:r>
    </w:p>
    <w:bookmarkStart w:id="20" w:name="how-to-use-this-document"/>
    <w:p>
      <w:pPr>
        <w:pStyle w:val="Heading1"/>
      </w:pPr>
      <w:r>
        <w:t xml:space="preserve">How to use this document</w:t>
      </w:r>
    </w:p>
    <w:p>
      <w:pPr>
        <w:pStyle w:val="FirstParagraph"/>
      </w:pPr>
      <w:r>
        <w:t xml:space="preserve">Every claim below carries one of three marks, so you know what you can build on and what you must check.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Mark</w:t>
            </w:r>
          </w:p>
        </w:tc>
        <w:tc>
          <w:tcPr/>
          <w:p>
            <w:pPr>
              <w:pStyle w:val="Compact"/>
              <w:jc w:val="left"/>
            </w:pPr>
            <w:r>
              <w:t xml:space="preserve">Meaning</w:t>
            </w:r>
          </w:p>
        </w:tc>
        <w:tc>
          <w:tcPr/>
          <w:p>
            <w:pPr>
              <w:pStyle w:val="Compact"/>
              <w:jc w:val="left"/>
            </w:pPr>
            <w:r>
              <w:t xml:space="preserve">How to treat it</w:t>
            </w:r>
          </w:p>
        </w:tc>
      </w:tr>
      <w:tr>
        <w:tc>
          <w:tcPr/>
          <w:p>
            <w:pPr>
              <w:pStyle w:val="Compact"/>
              <w:jc w:val="left"/>
            </w:pPr>
            <w:r>
              <w:rPr>
                <w:bCs/>
                <w:b/>
              </w:rPr>
              <w:t xml:space="preserve">[V]</w:t>
            </w:r>
          </w:p>
        </w:tc>
        <w:tc>
          <w:tcPr/>
          <w:p>
            <w:pPr>
              <w:pStyle w:val="Compact"/>
              <w:jc w:val="left"/>
            </w:pPr>
            <w:r>
              <w:t xml:space="preserve">Verified against a public source linked in this document</w:t>
            </w:r>
          </w:p>
        </w:tc>
        <w:tc>
          <w:tcPr/>
          <w:p>
            <w:pPr>
              <w:pStyle w:val="Compact"/>
              <w:jc w:val="left"/>
            </w:pPr>
            <w:r>
              <w:t xml:space="preserve">Cite it, build on it</w:t>
            </w:r>
          </w:p>
        </w:tc>
      </w:tr>
      <w:tr>
        <w:tc>
          <w:tcPr/>
          <w:p>
            <w:pPr>
              <w:pStyle w:val="Compact"/>
              <w:jc w:val="left"/>
            </w:pPr>
            <w:r>
              <w:rPr>
                <w:bCs/>
                <w:b/>
              </w:rPr>
              <w:t xml:space="preserve">[P]</w:t>
            </w:r>
          </w:p>
        </w:tc>
        <w:tc>
          <w:tcPr/>
          <w:p>
            <w:pPr>
              <w:pStyle w:val="Compact"/>
              <w:jc w:val="left"/>
            </w:pPr>
            <w:r>
              <w:t xml:space="preserve">Needs the paywalled IEC standard to confirm exactly</w:t>
            </w:r>
          </w:p>
        </w:tc>
        <w:tc>
          <w:tcPr/>
          <w:p>
            <w:pPr>
              <w:pStyle w:val="Compact"/>
              <w:jc w:val="left"/>
            </w:pPr>
            <w:r>
              <w:t xml:space="preserve">Correct in outline; buy the part before coding attribute names</w:t>
            </w:r>
          </w:p>
        </w:tc>
      </w:tr>
      <w:tr>
        <w:tc>
          <w:tcPr/>
          <w:p>
            <w:pPr>
              <w:pStyle w:val="Compact"/>
              <w:jc w:val="left"/>
            </w:pPr>
            <w:r>
              <w:rPr>
                <w:bCs/>
                <w:b/>
              </w:rPr>
              <w:t xml:space="preserve">[U]</w:t>
            </w:r>
          </w:p>
        </w:tc>
        <w:tc>
          <w:tcPr/>
          <w:p>
            <w:pPr>
              <w:pStyle w:val="Compact"/>
              <w:jc w:val="left"/>
            </w:pPr>
            <w:r>
              <w:t xml:space="preserve">General knowledge, no public source found</w:t>
            </w:r>
          </w:p>
        </w:tc>
        <w:tc>
          <w:tcPr/>
          <w:p>
            <w:pPr>
              <w:pStyle w:val="Compact"/>
              <w:jc w:val="left"/>
            </w:pPr>
            <w:r>
              <w:t xml:space="preserve">Treat as a hypothesis to test</w:t>
            </w:r>
          </w:p>
        </w:tc>
      </w:tr>
    </w:tbl>
    <w:p>
      <w:pPr>
        <w:pStyle w:val="BodyText"/>
      </w:pPr>
      <w:r>
        <w:t xml:space="preserve">The CIM standards are sold per part by the IEC and are not public. So no document written without them can verify class-by-class attribute names and cardinalities. Anyone claiming otherwise is guessing.</w:t>
      </w:r>
    </w:p>
    <w:p>
      <w:pPr>
        <w:pStyle w:val="BodyText"/>
      </w:pPr>
      <w:r>
        <w:t xml:space="preserve">What this document can do is get the architecture, vocabulary and part numbers right, and say exactly which parts to buy and in what order.</w:t>
      </w:r>
    </w:p>
    <w:bookmarkEnd w:id="20"/>
    <w:bookmarkStart w:id="21" w:name="what-cim-actually-is"/>
    <w:p>
      <w:pPr>
        <w:pStyle w:val="Heading1"/>
      </w:pPr>
      <w:r>
        <w:t xml:space="preserve">What CIM actually is</w:t>
      </w:r>
    </w:p>
    <w:p>
      <w:pPr>
        <w:pStyle w:val="FirstParagraph"/>
      </w:pPr>
      <w:r>
        <w:t xml:space="preserve">CIM is a UML class model, not a file format, database schema or API.</w:t>
      </w:r>
      <w:r>
        <w:t xml:space="preserve"> </w:t>
      </w:r>
      <w:r>
        <w:rPr>
          <w:bCs/>
          <w:b/>
        </w:rPr>
        <w:t xml:space="preserve">[V]</w:t>
      </w:r>
      <w:r>
        <w:t xml:space="preserve"> </w:t>
      </w:r>
      <w:r>
        <w:t xml:space="preserve">Everything else — CIM/XML files, RDF graphs, message payloads — is a serialisation of some subset of it.</w:t>
      </w:r>
    </w:p>
    <w:p>
      <w:pPr>
        <w:pStyle w:val="BodyText"/>
      </w:pPr>
      <w:r>
        <w:t xml:space="preserve">The canonical model is distributed as a Sparx Enterprise Architect</w:t>
      </w:r>
      <w:r>
        <w:t xml:space="preserve"> </w:t>
      </w:r>
      <w:r>
        <w:rPr>
          <w:rStyle w:val="VerbatimChar"/>
        </w:rPr>
        <w:t xml:space="preserve">.eap</w:t>
      </w:r>
      <w:r>
        <w:t xml:space="preserve"> </w:t>
      </w:r>
      <w:r>
        <w:t xml:space="preserve">file. ENTSO-E publishes ENTSO-E CIM 17.2.0 / CGMES 3.0.0 / NC Profiles 2.4.2 in that form, updated 10 June 2026 (CGMES Library: https://www.entsoe.eu/data/cim/cim-for-grid-models-exchange/).</w:t>
      </w:r>
      <w:r>
        <w:t xml:space="preserve"> </w:t>
      </w:r>
      <w:r>
        <w:rPr>
          <w:bCs/>
          <w:b/>
        </w:rPr>
        <w:t xml:space="preserve">[V]</w:t>
      </w:r>
    </w:p>
    <w:p>
      <w:pPr>
        <w:pStyle w:val="BodyText"/>
      </w:pPr>
      <w:r>
        <w:t xml:space="preserve">That is a real barrier: reading the authoritative model needs Enterprise Architect, or a tool that consumes an export.</w:t>
      </w:r>
    </w:p>
    <w:p>
      <w:pPr>
        <w:pStyle w:val="BodyText"/>
      </w:pPr>
      <w:r>
        <w:rPr>
          <w:bCs/>
          <w:b/>
        </w:rPr>
        <w:t xml:space="preserve">The way around it, and the most useful single item in this document:</w:t>
      </w:r>
      <w:r>
        <w:t xml:space="preserve"> </w:t>
      </w:r>
      <w:r>
        <w:t xml:space="preserve">ENTSO-E publishes machine-readable RDFS and SHACL artefacts as the Application Profiles Library, licensed Apache 2.0, at https://github.com/entsoe/application-profiles-library.</w:t>
      </w:r>
      <w:r>
        <w:t xml:space="preserve"> </w:t>
      </w:r>
      <w:r>
        <w:rPr>
          <w:bCs/>
          <w:b/>
        </w:rPr>
        <w:t xml:space="preserve">[V]</w:t>
      </w:r>
      <w:r>
        <w:t xml:space="preserve"> </w:t>
      </w:r>
      <w:r>
        <w:t xml:space="preserve">SHACL shapes give validation rules that execute directly against RDF — free, no Enterprise Architect licence, no IEC purchase.</w:t>
      </w:r>
    </w:p>
    <w:p>
      <w:pPr>
        <w:pStyle w:val="BodyText"/>
      </w:pPr>
      <w:r>
        <w:t xml:space="preserve">Start there rather than with the</w:t>
      </w:r>
      <w:r>
        <w:t xml:space="preserve"> </w:t>
      </w:r>
      <w:r>
        <w:rPr>
          <w:rStyle w:val="VerbatimChar"/>
        </w:rPr>
        <w:t xml:space="preserve">.eap</w:t>
      </w:r>
      <w:r>
        <w:t xml:space="preserve">.</w:t>
      </w:r>
    </w:p>
    <w:bookmarkEnd w:id="21"/>
    <w:bookmarkStart w:id="22" w:name="the-three-standards-families"/>
    <w:p>
      <w:pPr>
        <w:pStyle w:val="Heading1"/>
      </w:pPr>
      <w:r>
        <w:t xml:space="preserve">The three standards families</w:t>
      </w:r>
    </w:p>
    <w:p>
      <w:pPr>
        <w:pStyle w:val="FirstParagraph"/>
      </w:pPr>
      <w:r>
        <w:t xml:space="preserve">Three IEC series share one underlying model: 61970 (transmission/EMS and the core), 61968 (distribution and enterprise integration), 62325 (markets).</w:t>
      </w:r>
      <w:r>
        <w:t xml:space="preserve"> </w:t>
      </w:r>
      <w:r>
        <w:rPr>
          <w:bCs/>
          <w:b/>
        </w:rPr>
        <w:t xml:space="preserve">[V]</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w:t>
            </w:r>
          </w:p>
        </w:tc>
        <w:tc>
          <w:tcPr/>
          <w:p>
            <w:pPr>
              <w:pStyle w:val="Compact"/>
              <w:jc w:val="left"/>
            </w:pPr>
            <w:r>
              <w:t xml:space="preserve">Covers</w:t>
            </w:r>
          </w:p>
        </w:tc>
        <w:tc>
          <w:tcPr/>
          <w:p>
            <w:pPr>
              <w:pStyle w:val="Compact"/>
              <w:jc w:val="left"/>
            </w:pPr>
            <w:r>
              <w:t xml:space="preserve">Current edition</w:t>
            </w:r>
          </w:p>
        </w:tc>
        <w:tc>
          <w:tcPr/>
          <w:p>
            <w:pPr>
              <w:pStyle w:val="Compact"/>
              <w:jc w:val="left"/>
            </w:pPr>
            <w:r>
              <w:t xml:space="preserve">Relevance</w:t>
            </w:r>
          </w:p>
        </w:tc>
      </w:tr>
      <w:tr>
        <w:tc>
          <w:tcPr/>
          <w:p>
            <w:pPr>
              <w:pStyle w:val="Compact"/>
              <w:jc w:val="left"/>
            </w:pPr>
            <w:r>
              <w:t xml:space="preserve">IEC 61970-301</w:t>
            </w:r>
          </w:p>
        </w:tc>
        <w:tc>
          <w:tcPr/>
          <w:p>
            <w:pPr>
              <w:pStyle w:val="Compact"/>
              <w:jc w:val="left"/>
            </w:pPr>
            <w:r>
              <w:t xml:space="preserve">The semantic model — the core of everything</w:t>
            </w:r>
          </w:p>
        </w:tc>
        <w:tc>
          <w:tcPr/>
          <w:p>
            <w:pPr>
              <w:pStyle w:val="Compact"/>
              <w:jc w:val="left"/>
            </w:pPr>
            <w:r>
              <w:t xml:space="preserve">2020 + AMD1:2022</w:t>
            </w:r>
            <w:r>
              <w:t xml:space="preserve"> </w:t>
            </w:r>
            <w:r>
              <w:rPr>
                <w:bCs/>
                <w:b/>
              </w:rPr>
              <w:t xml:space="preserve">[V]</w:t>
            </w:r>
          </w:p>
        </w:tc>
        <w:tc>
          <w:tcPr/>
          <w:p>
            <w:pPr>
              <w:pStyle w:val="Compact"/>
              <w:jc w:val="left"/>
            </w:pPr>
            <w:r>
              <w:t xml:space="preserve">Buy second</w:t>
            </w:r>
          </w:p>
        </w:tc>
      </w:tr>
      <w:tr>
        <w:tc>
          <w:tcPr/>
          <w:p>
            <w:pPr>
              <w:pStyle w:val="Compact"/>
              <w:jc w:val="left"/>
            </w:pPr>
            <w:r>
              <w:t xml:space="preserve">IEC 61970-552</w:t>
            </w:r>
          </w:p>
        </w:tc>
        <w:tc>
          <w:tcPr/>
          <w:p>
            <w:pPr>
              <w:pStyle w:val="Compact"/>
              <w:jc w:val="left"/>
            </w:pPr>
            <w:r>
              <w:t xml:space="preserve">CIM/XML serialisation</w:t>
            </w:r>
          </w:p>
        </w:tc>
        <w:tc>
          <w:tcPr/>
          <w:p>
            <w:pPr>
              <w:pStyle w:val="Compact"/>
              <w:jc w:val="left"/>
            </w:pPr>
            <w:r>
              <w:t xml:space="preserve">2016</w:t>
            </w:r>
            <w:r>
              <w:t xml:space="preserve"> </w:t>
            </w:r>
            <w:r>
              <w:rPr>
                <w:bCs/>
                <w:b/>
              </w:rPr>
              <w:t xml:space="preserve">[V]</w:t>
            </w:r>
          </w:p>
        </w:tc>
        <w:tc>
          <w:tcPr/>
          <w:p>
            <w:pPr>
              <w:pStyle w:val="Compact"/>
              <w:jc w:val="left"/>
            </w:pPr>
            <w:r>
              <w:t xml:space="preserve">Only if emitting CIM/XML</w:t>
            </w:r>
          </w:p>
        </w:tc>
      </w:tr>
      <w:tr>
        <w:tc>
          <w:tcPr/>
          <w:p>
            <w:pPr>
              <w:pStyle w:val="Compact"/>
              <w:jc w:val="left"/>
            </w:pPr>
            <w:r>
              <w:t xml:space="preserve">IEC 61970-600-1 / -600-2</w:t>
            </w:r>
          </w:p>
        </w:tc>
        <w:tc>
          <w:tcPr/>
          <w:p>
            <w:pPr>
              <w:pStyle w:val="Compact"/>
              <w:jc w:val="left"/>
            </w:pPr>
            <w:r>
              <w:t xml:space="preserve">CGMES structure, rules and profiles</w:t>
            </w:r>
          </w:p>
        </w:tc>
        <w:tc>
          <w:tcPr/>
          <w:p>
            <w:pPr>
              <w:pStyle w:val="Compact"/>
              <w:jc w:val="left"/>
            </w:pPr>
            <w:r>
              <w:t xml:space="preserve">2021</w:t>
            </w:r>
            <w:r>
              <w:t xml:space="preserve"> </w:t>
            </w:r>
            <w:r>
              <w:rPr>
                <w:bCs/>
                <w:b/>
              </w:rPr>
              <w:t xml:space="preserve">[V]</w:t>
            </w:r>
          </w:p>
        </w:tc>
        <w:tc>
          <w:tcPr/>
          <w:p>
            <w:pPr>
              <w:pStyle w:val="Compact"/>
              <w:jc w:val="left"/>
            </w:pPr>
            <w:r>
              <w:t xml:space="preserve">Context only</w:t>
            </w:r>
          </w:p>
        </w:tc>
      </w:tr>
      <w:tr>
        <w:tc>
          <w:tcPr/>
          <w:p>
            <w:pPr>
              <w:pStyle w:val="Compact"/>
              <w:jc w:val="left"/>
            </w:pPr>
            <w:r>
              <w:t xml:space="preserve">IEC 61968-9</w:t>
            </w:r>
          </w:p>
        </w:tc>
        <w:tc>
          <w:tcPr/>
          <w:p>
            <w:pPr>
              <w:pStyle w:val="Compact"/>
              <w:jc w:val="left"/>
            </w:pPr>
            <w:r>
              <w:t xml:space="preserve">Meter reading and control</w:t>
            </w:r>
          </w:p>
        </w:tc>
        <w:tc>
          <w:tcPr/>
          <w:p>
            <w:pPr>
              <w:pStyle w:val="Compact"/>
              <w:jc w:val="left"/>
            </w:pPr>
            <w:r>
              <w:rPr>
                <w:bCs/>
                <w:b/>
              </w:rPr>
              <w:t xml:space="preserve">[P]</w:t>
            </w:r>
          </w:p>
        </w:tc>
        <w:tc>
          <w:tcPr/>
          <w:p>
            <w:pPr>
              <w:pStyle w:val="Compact"/>
              <w:jc w:val="left"/>
            </w:pPr>
            <w:r>
              <w:rPr>
                <w:bCs/>
                <w:b/>
              </w:rPr>
              <w:t xml:space="preserve">Buy first</w:t>
            </w:r>
          </w:p>
        </w:tc>
      </w:tr>
      <w:tr>
        <w:tc>
          <w:tcPr/>
          <w:p>
            <w:pPr>
              <w:pStyle w:val="Compact"/>
              <w:jc w:val="left"/>
            </w:pPr>
            <w:r>
              <w:t xml:space="preserve">IEC 61968-13</w:t>
            </w:r>
          </w:p>
        </w:tc>
        <w:tc>
          <w:tcPr/>
          <w:p>
            <w:pPr>
              <w:pStyle w:val="Compact"/>
              <w:jc w:val="left"/>
            </w:pPr>
            <w:r>
              <w:t xml:space="preserve">Distribution network model exchange (CDPSM)</w:t>
            </w:r>
          </w:p>
        </w:tc>
        <w:tc>
          <w:tcPr/>
          <w:p>
            <w:pPr>
              <w:pStyle w:val="Compact"/>
              <w:jc w:val="left"/>
            </w:pPr>
            <w:r>
              <w:t xml:space="preserve">2021, 2nd ed</w:t>
            </w:r>
            <w:r>
              <w:t xml:space="preserve"> </w:t>
            </w:r>
            <w:r>
              <w:rPr>
                <w:bCs/>
                <w:b/>
              </w:rPr>
              <w:t xml:space="preserve">[V]</w:t>
            </w:r>
          </w:p>
        </w:tc>
        <w:tc>
          <w:tcPr/>
          <w:p>
            <w:pPr>
              <w:pStyle w:val="Compact"/>
              <w:jc w:val="left"/>
            </w:pPr>
            <w:r>
              <w:t xml:space="preserve">Buy third</w:t>
            </w:r>
          </w:p>
        </w:tc>
      </w:tr>
      <w:tr>
        <w:tc>
          <w:tcPr/>
          <w:p>
            <w:pPr>
              <w:pStyle w:val="Compact"/>
              <w:jc w:val="left"/>
            </w:pPr>
            <w:r>
              <w:t xml:space="preserve">IEC 61968-4</w:t>
            </w:r>
          </w:p>
        </w:tc>
        <w:tc>
          <w:tcPr/>
          <w:p>
            <w:pPr>
              <w:pStyle w:val="Compact"/>
              <w:jc w:val="left"/>
            </w:pPr>
            <w:r>
              <w:t xml:space="preserve">Asset model</w:t>
            </w:r>
          </w:p>
        </w:tc>
        <w:tc>
          <w:tcPr/>
          <w:p>
            <w:pPr>
              <w:pStyle w:val="Compact"/>
              <w:jc w:val="left"/>
            </w:pPr>
            <w:r>
              <w:rPr>
                <w:bCs/>
                <w:b/>
              </w:rPr>
              <w:t xml:space="preserve">[P]</w:t>
            </w:r>
          </w:p>
        </w:tc>
        <w:tc>
          <w:tcPr/>
          <w:p>
            <w:pPr>
              <w:pStyle w:val="Compact"/>
              <w:jc w:val="left"/>
            </w:pPr>
            <w:r>
              <w:t xml:space="preserve">Later</w:t>
            </w:r>
          </w:p>
        </w:tc>
      </w:tr>
      <w:tr>
        <w:tc>
          <w:tcPr/>
          <w:p>
            <w:pPr>
              <w:pStyle w:val="Compact"/>
              <w:jc w:val="left"/>
            </w:pPr>
            <w:r>
              <w:t xml:space="preserve">IEC 61968-11</w:t>
            </w:r>
          </w:p>
        </w:tc>
        <w:tc>
          <w:tcPr/>
          <w:p>
            <w:pPr>
              <w:pStyle w:val="Compact"/>
              <w:jc w:val="left"/>
            </w:pPr>
            <w:r>
              <w:t xml:space="preserve">Distribution extensions to the model</w:t>
            </w:r>
          </w:p>
        </w:tc>
        <w:tc>
          <w:tcPr/>
          <w:p>
            <w:pPr>
              <w:pStyle w:val="Compact"/>
              <w:jc w:val="left"/>
            </w:pPr>
            <w:r>
              <w:rPr>
                <w:bCs/>
                <w:b/>
              </w:rPr>
              <w:t xml:space="preserve">[P]</w:t>
            </w:r>
          </w:p>
        </w:tc>
        <w:tc>
          <w:tcPr/>
          <w:p>
            <w:pPr>
              <w:pStyle w:val="Compact"/>
              <w:jc w:val="left"/>
            </w:pPr>
            <w:r>
              <w:t xml:space="preserve">Later</w:t>
            </w:r>
          </w:p>
        </w:tc>
      </w:tr>
      <w:tr>
        <w:tc>
          <w:tcPr/>
          <w:p>
            <w:pPr>
              <w:pStyle w:val="Compact"/>
              <w:jc w:val="left"/>
            </w:pPr>
            <w:r>
              <w:t xml:space="preserve">IEC 62325</w:t>
            </w:r>
          </w:p>
        </w:tc>
        <w:tc>
          <w:tcPr/>
          <w:p>
            <w:pPr>
              <w:pStyle w:val="Compact"/>
              <w:jc w:val="left"/>
            </w:pPr>
            <w:r>
              <w:t xml:space="preserve">Market messages</w:t>
            </w:r>
          </w:p>
        </w:tc>
        <w:tc>
          <w:tcPr/>
          <w:p>
            <w:pPr>
              <w:pStyle w:val="Compact"/>
              <w:jc w:val="left"/>
            </w:pPr>
            <w:r>
              <w:t xml:space="preserve">—</w:t>
            </w:r>
          </w:p>
        </w:tc>
        <w:tc>
          <w:tcPr/>
          <w:p>
            <w:pPr>
              <w:pStyle w:val="Compact"/>
              <w:jc w:val="left"/>
            </w:pPr>
            <w:r>
              <w:t xml:space="preserve">Ignore for now</w:t>
            </w:r>
          </w:p>
        </w:tc>
      </w:tr>
    </w:tbl>
    <w:p>
      <w:pPr>
        <w:pStyle w:val="BodyText"/>
      </w:pPr>
      <w:r>
        <w:t xml:space="preserve">IEC 61968-13:2021 is the second edition, replacing the 2008 first edition, and notes that vendors demonstrated transformation between distribution network models and CGMES is possible.</w:t>
      </w:r>
      <w:r>
        <w:t xml:space="preserve"> </w:t>
      </w:r>
      <w:r>
        <w:rPr>
          <w:bCs/>
          <w:b/>
        </w:rPr>
        <w:t xml:space="preserve">[V]</w:t>
      </w:r>
    </w:p>
    <w:p>
      <w:pPr>
        <w:pStyle w:val="BodyText"/>
      </w:pPr>
      <w:r>
        <w:t xml:space="preserve">Buying order matters because the parts are priced individually and add up fast. 61968-9 first: it is the only one you cannot proceed without.</w:t>
      </w:r>
    </w:p>
    <w:bookmarkEnd w:id="22"/>
    <w:bookmarkStart w:id="23" w:name="profiles-the-concept-that-matters-most"/>
    <w:p>
      <w:pPr>
        <w:pStyle w:val="Heading1"/>
      </w:pPr>
      <w:r>
        <w:t xml:space="preserve">Profiles: the concept that matters most</w:t>
      </w:r>
    </w:p>
    <w:p>
      <w:pPr>
        <w:pStyle w:val="FirstParagraph"/>
      </w:pPr>
      <w:r>
        <w:t xml:space="preserve">Nobody implements CIM. Everybody implements a profile — a constrained subset with selected classes and attributes, tightened cardinalities and a pinned serialisation.</w:t>
      </w:r>
      <w:r>
        <w:t xml:space="preserve"> </w:t>
      </w:r>
      <w:r>
        <w:rPr>
          <w:bCs/>
          <w:b/>
        </w:rPr>
        <w:t xml:space="preserve">[V]</w:t>
      </w:r>
    </w:p>
    <w:p>
      <w:pPr>
        <w:pStyle w:val="BodyText"/>
      </w:pPr>
      <w:r>
        <w:t xml:space="preserve">IEC 61970-600-1:2021 describes CGMES as defining how the relevant CIM standards work together, adding constraints on existing profiles, including by making optional attributes and associations mandatory (https://webstore.iec.ch/en/publication/63866).</w:t>
      </w:r>
      <w:r>
        <w:t xml:space="preserve"> </w:t>
      </w:r>
      <w:r>
        <w:rPr>
          <w:bCs/>
          <w:b/>
        </w:rPr>
        <w:t xml:space="preserve">[V]</w:t>
      </w:r>
      <w:r>
        <w:t xml:space="preserve"> </w:t>
      </w:r>
      <w:r>
        <w:t xml:space="preserve">That is exactly what a profile does.</w:t>
      </w:r>
    </w:p>
    <w:p>
      <w:pPr>
        <w:pStyle w:val="BodyText"/>
      </w:pPr>
      <w:r>
        <w:rPr>
          <w:bCs/>
          <w:b/>
        </w:rPr>
        <w:t xml:space="preserve">Consequence for the platform.</w:t>
      </w:r>
      <w:r>
        <w:t xml:space="preserve"> </w:t>
      </w:r>
      <w:r>
        <w:t xml:space="preserve">“</w:t>
      </w:r>
      <w:r>
        <w:t xml:space="preserve">CIM-compliant</w:t>
      </w:r>
      <w:r>
        <w:t xml:space="preserve">”</w:t>
      </w:r>
      <w:r>
        <w:t xml:space="preserve"> </w:t>
      </w:r>
      <w:r>
        <w:t xml:space="preserve">on its own means nothing. Stating a profile marks you as someone who has done this work:</w:t>
      </w:r>
    </w:p>
    <w:p>
      <w:pPr>
        <w:pStyle w:val="BlockText"/>
      </w:pPr>
      <w:r>
        <w:t xml:space="preserve">ETP emits a profile aligned to IEC 61968-9 on CIM17, with these named extensions, validated against SHACL shapes.</w:t>
      </w:r>
    </w:p>
    <w:p>
      <w:pPr>
        <w:pStyle w:val="FirstParagraph"/>
      </w:pPr>
      <w:r>
        <w:t xml:space="preserve">When a vendor architect says they support CIM, the question back is always: which profile, which CIM version, which extensions.</w:t>
      </w:r>
      <w:r>
        <w:t xml:space="preserve"> </w:t>
      </w:r>
      <w:r>
        <w:rPr>
          <w:bCs/>
          <w:b/>
        </w:rPr>
        <w:t xml:space="preserve">[U]</w:t>
      </w:r>
    </w:p>
    <w:p>
      <w:pPr>
        <w:pStyle w:val="BodyText"/>
      </w:pPr>
      <w:r>
        <w:t xml:space="preserve">ENTSO-E’s profile artefacts ship as RDFS plus SHACL, so profile conformance is machine-checkable rather than a claim.</w:t>
      </w:r>
      <w:r>
        <w:t xml:space="preserve"> </w:t>
      </w:r>
      <w:r>
        <w:rPr>
          <w:bCs/>
          <w:b/>
        </w:rPr>
        <w:t xml:space="preserve">[V]</w:t>
      </w:r>
      <w:r>
        <w:t xml:space="preserve"> </w:t>
      </w:r>
      <w:r>
        <w:t xml:space="preserve">Build that check into CI and conformance becomes a test result.</w:t>
      </w:r>
    </w:p>
    <w:bookmarkEnd w:id="23"/>
    <w:bookmarkStart w:id="24" w:name="the-core-topology-spine"/>
    <w:p>
      <w:pPr>
        <w:pStyle w:val="Heading1"/>
      </w:pPr>
      <w:r>
        <w:t xml:space="preserve">The core topology spine</w:t>
      </w:r>
    </w:p>
    <w:p>
      <w:pPr>
        <w:pStyle w:val="FirstParagraph"/>
      </w:pPr>
      <w:r>
        <w:t xml:space="preserve">Learn this hierarchy cold — it carries most of practical network modelling.</w:t>
      </w:r>
      <w:r>
        <w:t xml:space="preserve"> </w:t>
      </w:r>
      <w:r>
        <w:rPr>
          <w:bCs/>
          <w:b/>
        </w:rPr>
        <w:t xml:space="preserve">[P]</w:t>
      </w:r>
      <w:r>
        <w:t xml:space="preserve"> </w:t>
      </w:r>
      <w:r>
        <w:t xml:space="preserve">Every class name below is correct in outline but must be confirmed against the RDFS before coding; the free Application Profiles Library gives the exact spellings.</w:t>
      </w:r>
    </w:p>
    <w:p>
      <w:pPr>
        <w:pStyle w:val="SourceCode"/>
      </w:pPr>
      <w:r>
        <w:rPr>
          <w:rStyle w:val="VerbatimChar"/>
        </w:rPr>
        <w:t xml:space="preserve">IdentifiedObject  (mRID, name, description)</w:t>
      </w:r>
      <w:r>
        <w:br/>
      </w:r>
      <w:r>
        <w:rPr>
          <w:rStyle w:val="VerbatimChar"/>
        </w:rPr>
        <w:t xml:space="preserve">  └─ PowerSystemResource</w:t>
      </w:r>
      <w:r>
        <w:br/>
      </w:r>
      <w:r>
        <w:rPr>
          <w:rStyle w:val="VerbatimChar"/>
        </w:rPr>
        <w:t xml:space="preserve">     └─ Equipment</w:t>
      </w:r>
      <w:r>
        <w:br/>
      </w:r>
      <w:r>
        <w:rPr>
          <w:rStyle w:val="VerbatimChar"/>
        </w:rPr>
        <w:t xml:space="preserve">        └─ ConductingEquipment</w:t>
      </w:r>
      <w:r>
        <w:br/>
      </w:r>
      <w:r>
        <w:rPr>
          <w:rStyle w:val="VerbatimChar"/>
        </w:rPr>
        <w:t xml:space="preserve">           ├─ ACLineSegment    (r, x, bch, length)</w:t>
      </w:r>
      <w:r>
        <w:br/>
      </w:r>
      <w:r>
        <w:rPr>
          <w:rStyle w:val="VerbatimChar"/>
        </w:rPr>
        <w:t xml:space="preserve">           ├─ PowerTransformer (+ PowerTransformerEnd)</w:t>
      </w:r>
      <w:r>
        <w:br/>
      </w:r>
      <w:r>
        <w:rPr>
          <w:rStyle w:val="VerbatimChar"/>
        </w:rPr>
        <w:t xml:space="preserve">           ├─ Switch           (Breaker, Fuse)</w:t>
      </w:r>
      <w:r>
        <w:br/>
      </w:r>
      <w:r>
        <w:rPr>
          <w:rStyle w:val="VerbatimChar"/>
        </w:rPr>
        <w:t xml:space="preserve">           ├─ EnergyConsumer   (load)</w:t>
      </w:r>
      <w:r>
        <w:br/>
      </w:r>
      <w:r>
        <w:rPr>
          <w:rStyle w:val="VerbatimChar"/>
        </w:rPr>
        <w:t xml:space="preserve">           └─ BusbarSection</w:t>
      </w:r>
    </w:p>
    <w:p>
      <w:pPr>
        <w:pStyle w:val="FirstParagraph"/>
      </w:pPr>
      <w:r>
        <w:t xml:space="preserve">Equipment never connects to equipment. Each</w:t>
      </w:r>
      <w:r>
        <w:t xml:space="preserve"> </w:t>
      </w:r>
      <w:r>
        <w:rPr>
          <w:rStyle w:val="VerbatimChar"/>
        </w:rPr>
        <w:t xml:space="preserve">ConductingEquipment</w:t>
      </w:r>
      <w:r>
        <w:t xml:space="preserve"> </w:t>
      </w:r>
      <w:r>
        <w:t xml:space="preserve">owns one or more</w:t>
      </w:r>
      <w:r>
        <w:t xml:space="preserve"> </w:t>
      </w:r>
      <w:r>
        <w:rPr>
          <w:rStyle w:val="VerbatimChar"/>
        </w:rPr>
        <w:t xml:space="preserve">Terminal</w:t>
      </w:r>
      <w:r>
        <w:t xml:space="preserve"> </w:t>
      </w:r>
      <w:r>
        <w:t xml:space="preserve">objects; Terminals attach to a</w:t>
      </w:r>
      <w:r>
        <w:t xml:space="preserve"> </w:t>
      </w:r>
      <w:r>
        <w:rPr>
          <w:rStyle w:val="VerbatimChar"/>
        </w:rPr>
        <w:t xml:space="preserve">ConnectivityNode</w:t>
      </w:r>
      <w:r>
        <w:t xml:space="preserve">; after switch-state processing those resolve into a</w:t>
      </w:r>
      <w:r>
        <w:t xml:space="preserve"> </w:t>
      </w:r>
      <w:r>
        <w:rPr>
          <w:rStyle w:val="VerbatimChar"/>
        </w:rPr>
        <w:t xml:space="preserve">TopologicalNode</w:t>
      </w:r>
      <w:r>
        <w:t xml:space="preserve">.</w:t>
      </w:r>
      <w:r>
        <w:t xml:space="preserve"> </w:t>
      </w:r>
      <w:r>
        <w:rPr>
          <w:bCs/>
          <w:b/>
        </w:rPr>
        <w:t xml:space="preserve">[P]</w:t>
      </w:r>
    </w:p>
    <w:p>
      <w:pPr>
        <w:pStyle w:val="BodyText"/>
      </w:pPr>
      <w:r>
        <w:t xml:space="preserve">Node-breaker models keep the switches; bus-branch models collapse them. Getting this wrong is the most common beginner error.</w:t>
      </w:r>
    </w:p>
    <w:p>
      <w:pPr>
        <w:pStyle w:val="BodyText"/>
      </w:pPr>
      <w:r>
        <w:t xml:space="preserve">Containment runs</w:t>
      </w:r>
      <w:r>
        <w:t xml:space="preserve"> </w:t>
      </w:r>
      <w:r>
        <w:rPr>
          <w:rStyle w:val="VerbatimChar"/>
        </w:rPr>
        <w:t xml:space="preserve">EquipmentContainer</w:t>
      </w:r>
      <w:r>
        <w:t xml:space="preserve"> </w:t>
      </w:r>
      <w:r>
        <w:t xml:space="preserve">→</w:t>
      </w:r>
      <w:r>
        <w:t xml:space="preserve"> </w:t>
      </w:r>
      <w:r>
        <w:rPr>
          <w:rStyle w:val="VerbatimChar"/>
        </w:rPr>
        <w:t xml:space="preserve">VoltageLevel</w:t>
      </w:r>
      <w:r>
        <w:t xml:space="preserve"> </w:t>
      </w:r>
      <w:r>
        <w:t xml:space="preserve">→</w:t>
      </w:r>
      <w:r>
        <w:t xml:space="preserve"> </w:t>
      </w:r>
      <w:r>
        <w:rPr>
          <w:rStyle w:val="VerbatimChar"/>
        </w:rPr>
        <w:t xml:space="preserve">Substation</w:t>
      </w:r>
      <w:r>
        <w:t xml:space="preserve"> </w:t>
      </w:r>
      <w:r>
        <w:t xml:space="preserve">→</w:t>
      </w:r>
      <w:r>
        <w:t xml:space="preserve"> </w:t>
      </w:r>
      <w:r>
        <w:rPr>
          <w:rStyle w:val="VerbatimChar"/>
        </w:rPr>
        <w:t xml:space="preserve">SubGeographicalRegion</w:t>
      </w:r>
      <w:r>
        <w:t xml:space="preserve"> </w:t>
      </w:r>
      <w:r>
        <w:t xml:space="preserve">→</w:t>
      </w:r>
      <w:r>
        <w:t xml:space="preserve"> </w:t>
      </w:r>
      <w:r>
        <w:rPr>
          <w:rStyle w:val="VerbatimChar"/>
        </w:rPr>
        <w:t xml:space="preserve">GeographicalRegion</w:t>
      </w:r>
      <w:r>
        <w:t xml:space="preserve">, with</w:t>
      </w:r>
      <w:r>
        <w:t xml:space="preserve"> </w:t>
      </w:r>
      <w:r>
        <w:rPr>
          <w:rStyle w:val="VerbatimChar"/>
        </w:rPr>
        <w:t xml:space="preserve">Line</w:t>
      </w:r>
      <w:r>
        <w:t xml:space="preserve"> </w:t>
      </w:r>
      <w:r>
        <w:t xml:space="preserve">and</w:t>
      </w:r>
      <w:r>
        <w:t xml:space="preserve"> </w:t>
      </w:r>
      <w:r>
        <w:rPr>
          <w:rStyle w:val="VerbatimChar"/>
        </w:rPr>
        <w:t xml:space="preserve">Feeder</w:t>
      </w:r>
      <w:r>
        <w:t xml:space="preserve"> </w:t>
      </w:r>
      <w:r>
        <w:t xml:space="preserve">alongside.</w:t>
      </w:r>
      <w:r>
        <w:t xml:space="preserve"> </w:t>
      </w:r>
      <w:r>
        <w:rPr>
          <w:rStyle w:val="VerbatimChar"/>
        </w:rPr>
        <w:t xml:space="preserve">Feeder</w:t>
      </w:r>
      <w:r>
        <w:t xml:space="preserve"> </w:t>
      </w:r>
      <w:r>
        <w:t xml:space="preserve">is where distribution work lives.</w:t>
      </w:r>
      <w:r>
        <w:t xml:space="preserve"> </w:t>
      </w:r>
      <w:r>
        <w:rPr>
          <w:bCs/>
          <w:b/>
        </w:rPr>
        <w:t xml:space="preserve">[P]</w:t>
      </w:r>
    </w:p>
    <w:p>
      <w:pPr>
        <w:pStyle w:val="BodyText"/>
      </w:pPr>
      <w:r>
        <w:t xml:space="preserve">Measurements attach separately:</w:t>
      </w:r>
      <w:r>
        <w:t xml:space="preserve"> </w:t>
      </w:r>
      <w:r>
        <w:rPr>
          <w:rStyle w:val="VerbatimChar"/>
        </w:rPr>
        <w:t xml:space="preserve">Measurement</w:t>
      </w:r>
      <w:r>
        <w:t xml:space="preserve"> </w:t>
      </w:r>
      <w:r>
        <w:t xml:space="preserve">with</w:t>
      </w:r>
      <w:r>
        <w:t xml:space="preserve"> </w:t>
      </w:r>
      <w:r>
        <w:rPr>
          <w:rStyle w:val="VerbatimChar"/>
        </w:rPr>
        <w:t xml:space="preserve">Analog</w:t>
      </w:r>
      <w:r>
        <w:t xml:space="preserve">,</w:t>
      </w:r>
      <w:r>
        <w:t xml:space="preserve"> </w:t>
      </w:r>
      <w:r>
        <w:rPr>
          <w:rStyle w:val="VerbatimChar"/>
        </w:rPr>
        <w:t xml:space="preserve">Discrete</w:t>
      </w:r>
      <w:r>
        <w:t xml:space="preserve"> </w:t>
      </w:r>
      <w:r>
        <w:t xml:space="preserve">and</w:t>
      </w:r>
      <w:r>
        <w:t xml:space="preserve"> </w:t>
      </w:r>
      <w:r>
        <w:rPr>
          <w:rStyle w:val="VerbatimChar"/>
        </w:rPr>
        <w:t xml:space="preserve">Accumulator</w:t>
      </w:r>
      <w:r>
        <w:t xml:space="preserve"> </w:t>
      </w:r>
      <w:r>
        <w:t xml:space="preserve">subtypes, each carrying value classes, associated to a PowerSystemResource and a Terminal.</w:t>
      </w:r>
      <w:r>
        <w:t xml:space="preserve"> </w:t>
      </w:r>
      <w:r>
        <w:rPr>
          <w:bCs/>
          <w:b/>
        </w:rPr>
        <w:t xml:space="preserve">[P]</w:t>
      </w:r>
    </w:p>
    <w:bookmarkEnd w:id="24"/>
    <w:bookmarkStart w:id="25" w:name="the-metering-branch"/>
    <w:p>
      <w:pPr>
        <w:pStyle w:val="Heading1"/>
      </w:pPr>
      <w:r>
        <w:t xml:space="preserve">The metering branch</w:t>
      </w:r>
    </w:p>
    <w:p>
      <w:pPr>
        <w:pStyle w:val="FirstParagraph"/>
      </w:pPr>
      <w:r>
        <w:t xml:space="preserve">IEC 61968-9 covers meter reading and control, and holds the classes the platform already names.</w:t>
      </w:r>
      <w:r>
        <w:t xml:space="preserve"> </w:t>
      </w:r>
      <w:r>
        <w:rPr>
          <w:bCs/>
          <w:b/>
        </w:rPr>
        <w:t xml:space="preserve">[P]</w:t>
      </w:r>
    </w:p>
    <w:p>
      <w:pPr>
        <w:pStyle w:val="BodyText"/>
      </w:pPr>
      <w:r>
        <w:t xml:space="preserve">The structure below is</w:t>
      </w:r>
      <w:r>
        <w:t xml:space="preserve"> </w:t>
      </w:r>
      <w:r>
        <w:rPr>
          <w:bCs/>
          <w:b/>
        </w:rPr>
        <w:t xml:space="preserve">[V]</w:t>
      </w:r>
      <w:r>
        <w:t xml:space="preserve"> </w:t>
      </w:r>
      <w:r>
        <w:t xml:space="preserve">as it appears in NAESB ESPI (Green Button), which derives from this part of CIM and is published openly (https://www.greenbuttonalliance.org/costandcurrency). ESPI is a constrained profile, so IEC 61968-9 itself has more classes and attributes. Treat ESPI as a verified floor, not the ceiling.</w:t>
      </w:r>
    </w:p>
    <w:p>
      <w:pPr>
        <w:pStyle w:val="SourceCode"/>
      </w:pPr>
      <w:r>
        <w:rPr>
          <w:rStyle w:val="VerbatimChar"/>
        </w:rPr>
        <w:t xml:space="preserve">UsagePoint ──┐</w:t>
      </w:r>
      <w:r>
        <w:br/>
      </w:r>
      <w:r>
        <w:rPr>
          <w:rStyle w:val="VerbatimChar"/>
        </w:rPr>
        <w:t xml:space="preserve">             ├──&gt; MeterReading</w:t>
      </w:r>
      <w:r>
        <w:br/>
      </w:r>
      <w:r>
        <w:rPr>
          <w:rStyle w:val="VerbatimChar"/>
        </w:rPr>
        <w:t xml:space="preserve">Meter ───────┘         │</w:t>
      </w:r>
      <w:r>
        <w:br/>
      </w:r>
      <w:r>
        <w:rPr>
          <w:rStyle w:val="VerbatimChar"/>
        </w:rPr>
        <w:t xml:space="preserve">                       ├──&gt; ReadingType</w:t>
      </w:r>
      <w:r>
        <w:br/>
      </w:r>
      <w:r>
        <w:rPr>
          <w:rStyle w:val="VerbatimChar"/>
        </w:rPr>
        <w:t xml:space="preserve">                       └──&gt; IntervalBlock</w:t>
      </w:r>
      <w:r>
        <w:br/>
      </w:r>
      <w:r>
        <w:rPr>
          <w:rStyle w:val="VerbatimChar"/>
        </w:rPr>
        <w:t xml:space="preserve">                                │</w:t>
      </w:r>
      <w:r>
        <w:br/>
      </w:r>
      <w:r>
        <w:rPr>
          <w:rStyle w:val="VerbatimChar"/>
        </w:rPr>
        <w:t xml:space="preserve">                                └──&gt; IntervalReading</w:t>
      </w:r>
      <w:r>
        <w:br/>
      </w:r>
      <w:r>
        <w:rPr>
          <w:rStyle w:val="VerbatimChar"/>
        </w:rPr>
        <w:t xml:space="preserve">                                     (value, timePeriod)</w:t>
      </w:r>
    </w:p>
    <w:p>
      <w:pPr>
        <w:pStyle w:val="FirstParagraph"/>
      </w:pPr>
      <w:r>
        <w:rPr>
          <w:bCs/>
          <w:b/>
        </w:rPr>
        <w:t xml:space="preserve">Verified structure in ESPI:</w:t>
      </w:r>
    </w:p>
    <w:p>
      <w:pPr>
        <w:numPr>
          <w:ilvl w:val="0"/>
          <w:numId w:val="1001"/>
        </w:numPr>
        <w:pStyle w:val="Compact"/>
      </w:pPr>
      <w:r>
        <w:rPr>
          <w:rStyle w:val="VerbatimChar"/>
        </w:rPr>
        <w:t xml:space="preserve">UsagePoint</w:t>
      </w:r>
      <w:r>
        <w:t xml:space="preserve"> </w:t>
      </w:r>
      <w:r>
        <w:t xml:space="preserve">carries a</w:t>
      </w:r>
      <w:r>
        <w:t xml:space="preserve"> </w:t>
      </w:r>
      <w:r>
        <w:rPr>
          <w:rStyle w:val="VerbatimChar"/>
        </w:rPr>
        <w:t xml:space="preserve">ServiceCategory</w:t>
      </w:r>
      <w:r>
        <w:t xml:space="preserve"> </w:t>
      </w:r>
      <w:r>
        <w:t xml:space="preserve">with a</w:t>
      </w:r>
      <w:r>
        <w:t xml:space="preserve"> </w:t>
      </w:r>
      <w:r>
        <w:rPr>
          <w:rStyle w:val="VerbatimChar"/>
        </w:rPr>
        <w:t xml:space="preserve">kind</w:t>
      </w:r>
      <w:r>
        <w:t xml:space="preserve"> </w:t>
      </w:r>
      <w:r>
        <w:t xml:space="preserve">—</w:t>
      </w:r>
      <w:r>
        <w:t xml:space="preserve"> </w:t>
      </w:r>
      <w:r>
        <w:rPr>
          <w:rStyle w:val="VerbatimChar"/>
        </w:rPr>
        <w:t xml:space="preserve">0</w:t>
      </w:r>
      <w:r>
        <w:t xml:space="preserve"> </w:t>
      </w:r>
      <w:r>
        <w:t xml:space="preserve">is electricity</w:t>
      </w:r>
    </w:p>
    <w:p>
      <w:pPr>
        <w:numPr>
          <w:ilvl w:val="0"/>
          <w:numId w:val="1001"/>
        </w:numPr>
        <w:pStyle w:val="Compact"/>
      </w:pPr>
      <w:r>
        <w:rPr>
          <w:rStyle w:val="VerbatimChar"/>
        </w:rPr>
        <w:t xml:space="preserve">MeterReading</w:t>
      </w:r>
      <w:r>
        <w:t xml:space="preserve"> </w:t>
      </w:r>
      <w:r>
        <w:t xml:space="preserve">is the relationship node joining readings to a</w:t>
      </w:r>
      <w:r>
        <w:t xml:space="preserve"> </w:t>
      </w:r>
      <w:r>
        <w:rPr>
          <w:rStyle w:val="VerbatimChar"/>
        </w:rPr>
        <w:t xml:space="preserve">ReadingType</w:t>
      </w:r>
    </w:p>
    <w:p>
      <w:pPr>
        <w:numPr>
          <w:ilvl w:val="0"/>
          <w:numId w:val="1001"/>
        </w:numPr>
        <w:pStyle w:val="Compact"/>
      </w:pPr>
      <w:r>
        <w:rPr>
          <w:rStyle w:val="VerbatimChar"/>
        </w:rPr>
        <w:t xml:space="preserve">IntervalBlock</w:t>
      </w:r>
      <w:r>
        <w:t xml:space="preserve"> </w:t>
      </w:r>
      <w:r>
        <w:t xml:space="preserve">holds an</w:t>
      </w:r>
      <w:r>
        <w:t xml:space="preserve"> </w:t>
      </w:r>
      <w:r>
        <w:rPr>
          <w:rStyle w:val="VerbatimChar"/>
        </w:rPr>
        <w:t xml:space="preserve">interval</w:t>
      </w:r>
      <w:r>
        <w:t xml:space="preserve"> </w:t>
      </w:r>
      <w:r>
        <w:t xml:space="preserve">with</w:t>
      </w:r>
      <w:r>
        <w:t xml:space="preserve"> </w:t>
      </w:r>
      <w:r>
        <w:rPr>
          <w:rStyle w:val="VerbatimChar"/>
        </w:rPr>
        <w:t xml:space="preserve">duration</w:t>
      </w:r>
      <w:r>
        <w:t xml:space="preserve"> </w:t>
      </w:r>
      <w:r>
        <w:t xml:space="preserve">and</w:t>
      </w:r>
      <w:r>
        <w:t xml:space="preserve"> </w:t>
      </w:r>
      <w:r>
        <w:rPr>
          <w:rStyle w:val="VerbatimChar"/>
        </w:rPr>
        <w:t xml:space="preserve">start</w:t>
      </w:r>
    </w:p>
    <w:p>
      <w:pPr>
        <w:numPr>
          <w:ilvl w:val="0"/>
          <w:numId w:val="1001"/>
        </w:numPr>
        <w:pStyle w:val="Compact"/>
      </w:pPr>
      <w:r>
        <w:rPr>
          <w:rStyle w:val="VerbatimChar"/>
        </w:rPr>
        <w:t xml:space="preserve">IntervalReading</w:t>
      </w:r>
      <w:r>
        <w:t xml:space="preserve"> </w:t>
      </w:r>
      <w:r>
        <w:t xml:space="preserve">holds</w:t>
      </w:r>
      <w:r>
        <w:t xml:space="preserve"> </w:t>
      </w:r>
      <w:r>
        <w:rPr>
          <w:rStyle w:val="VerbatimChar"/>
        </w:rPr>
        <w:t xml:space="preserve">value</w:t>
      </w:r>
      <w:r>
        <w:t xml:space="preserve">, a</w:t>
      </w:r>
      <w:r>
        <w:t xml:space="preserve"> </w:t>
      </w:r>
      <w:r>
        <w:rPr>
          <w:rStyle w:val="VerbatimChar"/>
        </w:rPr>
        <w:t xml:space="preserve">timePeriod</w:t>
      </w:r>
      <w:r>
        <w:t xml:space="preserve"> </w:t>
      </w:r>
      <w:r>
        <w:t xml:space="preserve">and optionally</w:t>
      </w:r>
      <w:r>
        <w:t xml:space="preserve"> </w:t>
      </w:r>
      <w:r>
        <w:rPr>
          <w:rStyle w:val="VerbatimChar"/>
        </w:rPr>
        <w:t xml:space="preserve">cost</w:t>
      </w:r>
    </w:p>
    <w:p>
      <w:pPr>
        <w:numPr>
          <w:ilvl w:val="0"/>
          <w:numId w:val="1001"/>
        </w:numPr>
        <w:pStyle w:val="Compact"/>
      </w:pPr>
      <w:r>
        <w:t xml:space="preserve">Timestamps are epoch seconds; durations are seconds</w:t>
      </w:r>
    </w:p>
    <w:p>
      <w:pPr>
        <w:pStyle w:val="FirstParagraph"/>
      </w:pPr>
      <w:r>
        <w:t xml:space="preserve">In full CIM,</w:t>
      </w:r>
      <w:r>
        <w:t xml:space="preserve"> </w:t>
      </w:r>
      <w:r>
        <w:rPr>
          <w:rStyle w:val="VerbatimChar"/>
        </w:rPr>
        <w:t xml:space="preserve">Meter</w:t>
      </w:r>
      <w:r>
        <w:t xml:space="preserve"> </w:t>
      </w:r>
      <w:r>
        <w:t xml:space="preserve">specialises</w:t>
      </w:r>
      <w:r>
        <w:t xml:space="preserve"> </w:t>
      </w:r>
      <w:r>
        <w:rPr>
          <w:rStyle w:val="VerbatimChar"/>
        </w:rPr>
        <w:t xml:space="preserve">EndDevice</w:t>
      </w:r>
      <w:r>
        <w:t xml:space="preserve">, which is an</w:t>
      </w:r>
      <w:r>
        <w:t xml:space="preserve"> </w:t>
      </w:r>
      <w:r>
        <w:rPr>
          <w:rStyle w:val="VerbatimChar"/>
        </w:rPr>
        <w:t xml:space="preserve">Asset</w:t>
      </w:r>
      <w:r>
        <w:t xml:space="preserve">, and</w:t>
      </w:r>
      <w:r>
        <w:t xml:space="preserve"> </w:t>
      </w:r>
      <w:r>
        <w:rPr>
          <w:rStyle w:val="VerbatimChar"/>
        </w:rPr>
        <w:t xml:space="preserve">EndDeviceEvent</w:t>
      </w:r>
      <w:r>
        <w:t xml:space="preserve"> </w:t>
      </w:r>
      <w:r>
        <w:t xml:space="preserve">carries tamper and outage events.</w:t>
      </w:r>
      <w:r>
        <w:t xml:space="preserve"> </w:t>
      </w:r>
      <w:r>
        <w:rPr>
          <w:bCs/>
          <w:b/>
        </w:rPr>
        <w:t xml:space="preserve">[P]</w:t>
      </w:r>
      <w:r>
        <w:t xml:space="preserve"> </w:t>
      </w:r>
      <w:r>
        <w:t xml:space="preserve">Those events are the direct route to the omission-detection use case — check before building a parallel mechanism.</w:t>
      </w:r>
    </w:p>
    <w:bookmarkEnd w:id="25"/>
    <w:bookmarkStart w:id="26" w:name="readingtype-spend-your-time-here"/>
    <w:p>
      <w:pPr>
        <w:pStyle w:val="Heading1"/>
      </w:pPr>
      <w:r>
        <w:t xml:space="preserve">ReadingType: spend your time here</w:t>
      </w:r>
    </w:p>
    <w:p>
      <w:pPr>
        <w:pStyle w:val="FirstParagraph"/>
      </w:pPr>
      <w:r>
        <w:t xml:space="preserve">ReadingType decides what a number means, and therefore decides the lakehouse schema. Get it right and one table holds consumption, voltage, reactive power, export and power quality without ambiguity. Get it wrong and you rebuild.</w:t>
      </w:r>
    </w:p>
    <w:p>
      <w:pPr>
        <w:pStyle w:val="BodyText"/>
      </w:pPr>
      <w:r>
        <w:t xml:space="preserve">All attributes and enumerations below are</w:t>
      </w:r>
      <w:r>
        <w:t xml:space="preserve"> </w:t>
      </w:r>
      <w:r>
        <w:rPr>
          <w:bCs/>
          <w:b/>
        </w:rPr>
        <w:t xml:space="preserve">[V]</w:t>
      </w:r>
      <w:r>
        <w:t xml:space="preserve"> </w:t>
      </w:r>
      <w:r>
        <w:t xml:space="preserve">from the Green Button Alliance’s published example (https://www.greenbuttonalliance.org/costandcurrency).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Example</w:t>
            </w:r>
          </w:p>
        </w:tc>
        <w:tc>
          <w:tcPr/>
          <w:p>
            <w:pPr>
              <w:pStyle w:val="Compact"/>
              <w:jc w:val="left"/>
            </w:pPr>
            <w:r>
              <w:t xml:space="preserve">Meaning of that value</w:t>
            </w:r>
          </w:p>
        </w:tc>
      </w:tr>
      <w:tr>
        <w:tc>
          <w:tcPr/>
          <w:p>
            <w:pPr>
              <w:pStyle w:val="Compact"/>
              <w:jc w:val="left"/>
            </w:pPr>
            <w:r>
              <w:rPr>
                <w:rStyle w:val="VerbatimChar"/>
              </w:rPr>
              <w:t xml:space="preserve">accumulationBehaviour</w:t>
            </w:r>
          </w:p>
        </w:tc>
        <w:tc>
          <w:tcPr/>
          <w:p>
            <w:pPr>
              <w:pStyle w:val="Compact"/>
              <w:jc w:val="left"/>
            </w:pPr>
            <w:r>
              <w:t xml:space="preserve">4</w:t>
            </w:r>
          </w:p>
        </w:tc>
        <w:tc>
          <w:tcPr/>
          <w:p>
            <w:pPr>
              <w:pStyle w:val="Compact"/>
              <w:jc w:val="left"/>
            </w:pPr>
            <w:r>
              <w:t xml:space="preserve">Incremental interval data — difference between end and start of interval; the normal load-profile case</w:t>
            </w:r>
          </w:p>
        </w:tc>
      </w:tr>
      <w:tr>
        <w:tc>
          <w:tcPr/>
          <w:p>
            <w:pPr>
              <w:pStyle w:val="Compact"/>
              <w:jc w:val="left"/>
            </w:pPr>
            <w:r>
              <w:rPr>
                <w:rStyle w:val="VerbatimChar"/>
              </w:rPr>
              <w:t xml:space="preserve">commodity</w:t>
            </w:r>
          </w:p>
        </w:tc>
        <w:tc>
          <w:tcPr/>
          <w:p>
            <w:pPr>
              <w:pStyle w:val="Compact"/>
              <w:jc w:val="left"/>
            </w:pPr>
            <w:r>
              <w:t xml:space="preserve">1</w:t>
            </w:r>
          </w:p>
        </w:tc>
        <w:tc>
          <w:tcPr/>
          <w:p>
            <w:pPr>
              <w:pStyle w:val="Compact"/>
              <w:jc w:val="left"/>
            </w:pPr>
            <w:r>
              <w:t xml:space="preserve">Electricity, secondary metered</w:t>
            </w:r>
          </w:p>
        </w:tc>
      </w:tr>
      <w:tr>
        <w:tc>
          <w:tcPr/>
          <w:p>
            <w:pPr>
              <w:pStyle w:val="Compact"/>
              <w:jc w:val="left"/>
            </w:pPr>
            <w:r>
              <w:rPr>
                <w:rStyle w:val="VerbatimChar"/>
              </w:rPr>
              <w:t xml:space="preserve">dataQualifier</w:t>
            </w:r>
          </w:p>
        </w:tc>
        <w:tc>
          <w:tcPr/>
          <w:p>
            <w:pPr>
              <w:pStyle w:val="Compact"/>
              <w:jc w:val="left"/>
            </w:pPr>
            <w:r>
              <w:t xml:space="preserve">12</w:t>
            </w:r>
          </w:p>
        </w:tc>
        <w:tc>
          <w:tcPr/>
          <w:p>
            <w:pPr>
              <w:pStyle w:val="Compact"/>
              <w:jc w:val="left"/>
            </w:pPr>
            <w:r>
              <w:t xml:space="preserve">Normal</w:t>
            </w:r>
          </w:p>
        </w:tc>
      </w:tr>
      <w:tr>
        <w:tc>
          <w:tcPr/>
          <w:p>
            <w:pPr>
              <w:pStyle w:val="Compact"/>
              <w:jc w:val="left"/>
            </w:pPr>
            <w:r>
              <w:rPr>
                <w:rStyle w:val="VerbatimChar"/>
              </w:rPr>
              <w:t xml:space="preserve">flowDirection</w:t>
            </w:r>
          </w:p>
        </w:tc>
        <w:tc>
          <w:tcPr/>
          <w:p>
            <w:pPr>
              <w:pStyle w:val="Compact"/>
              <w:jc w:val="left"/>
            </w:pPr>
            <w:r>
              <w:t xml:space="preserve">1</w:t>
            </w:r>
          </w:p>
        </w:tc>
        <w:tc>
          <w:tcPr/>
          <w:p>
            <w:pPr>
              <w:pStyle w:val="Compact"/>
              <w:jc w:val="left"/>
            </w:pPr>
            <w:r>
              <w:t xml:space="preserve">Forward — delivered or imported, positive kWh</w:t>
            </w:r>
          </w:p>
        </w:tc>
      </w:tr>
      <w:tr>
        <w:tc>
          <w:tcPr/>
          <w:p>
            <w:pPr>
              <w:pStyle w:val="Compact"/>
              <w:jc w:val="left"/>
            </w:pPr>
            <w:r>
              <w:rPr>
                <w:rStyle w:val="VerbatimChar"/>
              </w:rPr>
              <w:t xml:space="preserve">intervalLength</w:t>
            </w:r>
          </w:p>
        </w:tc>
        <w:tc>
          <w:tcPr/>
          <w:p>
            <w:pPr>
              <w:pStyle w:val="Compact"/>
              <w:jc w:val="left"/>
            </w:pPr>
            <w:r>
              <w:t xml:space="preserve">300</w:t>
            </w:r>
          </w:p>
        </w:tc>
        <w:tc>
          <w:tcPr/>
          <w:p>
            <w:pPr>
              <w:pStyle w:val="Compact"/>
              <w:jc w:val="left"/>
            </w:pPr>
            <w:r>
              <w:t xml:space="preserve">Seconds; 3600 typical for residential smart meters</w:t>
            </w:r>
          </w:p>
        </w:tc>
      </w:tr>
      <w:tr>
        <w:tc>
          <w:tcPr/>
          <w:p>
            <w:pPr>
              <w:pStyle w:val="Compact"/>
              <w:jc w:val="left"/>
            </w:pPr>
            <w:r>
              <w:rPr>
                <w:rStyle w:val="VerbatimChar"/>
              </w:rPr>
              <w:t xml:space="preserve">kind</w:t>
            </w:r>
          </w:p>
        </w:tc>
        <w:tc>
          <w:tcPr/>
          <w:p>
            <w:pPr>
              <w:pStyle w:val="Compact"/>
              <w:jc w:val="left"/>
            </w:pPr>
            <w:r>
              <w:t xml:space="preserve">12</w:t>
            </w:r>
          </w:p>
        </w:tc>
        <w:tc>
          <w:tcPr/>
          <w:p>
            <w:pPr>
              <w:pStyle w:val="Compact"/>
              <w:jc w:val="left"/>
            </w:pPr>
            <w:r>
              <w:t xml:space="preserve">MeasurementKind — energy</w:t>
            </w:r>
          </w:p>
        </w:tc>
      </w:tr>
      <w:tr>
        <w:tc>
          <w:tcPr/>
          <w:p>
            <w:pPr>
              <w:pStyle w:val="Compact"/>
              <w:jc w:val="left"/>
            </w:pPr>
            <w:r>
              <w:rPr>
                <w:rStyle w:val="VerbatimChar"/>
              </w:rPr>
              <w:t xml:space="preserve">phase</w:t>
            </w:r>
          </w:p>
        </w:tc>
        <w:tc>
          <w:tcPr/>
          <w:p>
            <w:pPr>
              <w:pStyle w:val="Compact"/>
              <w:jc w:val="left"/>
            </w:pPr>
            <w:r>
              <w:t xml:space="preserve">129</w:t>
            </w:r>
          </w:p>
        </w:tc>
        <w:tc>
          <w:tcPr/>
          <w:p>
            <w:pPr>
              <w:pStyle w:val="Compact"/>
              <w:jc w:val="left"/>
            </w:pPr>
            <w:r>
              <w:t xml:space="preserve">PhaseCodeKind — phase A to neutral</w:t>
            </w:r>
          </w:p>
        </w:tc>
      </w:tr>
      <w:tr>
        <w:tc>
          <w:tcPr/>
          <w:p>
            <w:pPr>
              <w:pStyle w:val="Compact"/>
              <w:jc w:val="left"/>
            </w:pPr>
            <w:r>
              <w:rPr>
                <w:rStyle w:val="VerbatimChar"/>
              </w:rPr>
              <w:t xml:space="preserve">powerOfTenMultiplier</w:t>
            </w:r>
          </w:p>
        </w:tc>
        <w:tc>
          <w:tcPr/>
          <w:p>
            <w:pPr>
              <w:pStyle w:val="Compact"/>
              <w:jc w:val="left"/>
            </w:pPr>
            <w:r>
              <w:t xml:space="preserve">3</w:t>
            </w:r>
          </w:p>
        </w:tc>
        <w:tc>
          <w:tcPr/>
          <w:p>
            <w:pPr>
              <w:pStyle w:val="Compact"/>
              <w:jc w:val="left"/>
            </w:pPr>
            <w:r>
              <w:t xml:space="preserve">Ten to the power three</w:t>
            </w:r>
          </w:p>
        </w:tc>
      </w:tr>
      <w:tr>
        <w:tc>
          <w:tcPr/>
          <w:p>
            <w:pPr>
              <w:pStyle w:val="Compact"/>
              <w:jc w:val="left"/>
            </w:pPr>
            <w:r>
              <w:rPr>
                <w:rStyle w:val="VerbatimChar"/>
              </w:rPr>
              <w:t xml:space="preserve">uom</w:t>
            </w:r>
          </w:p>
        </w:tc>
        <w:tc>
          <w:tcPr/>
          <w:p>
            <w:pPr>
              <w:pStyle w:val="Compact"/>
              <w:jc w:val="left"/>
            </w:pPr>
            <w:r>
              <w:t xml:space="preserve">72</w:t>
            </w:r>
          </w:p>
        </w:tc>
        <w:tc>
          <w:tcPr/>
          <w:p>
            <w:pPr>
              <w:pStyle w:val="Compact"/>
              <w:jc w:val="left"/>
            </w:pPr>
            <w:r>
              <w:t xml:space="preserve">Watt hours</w:t>
            </w:r>
          </w:p>
        </w:tc>
      </w:tr>
      <w:tr>
        <w:tc>
          <w:tcPr/>
          <w:p>
            <w:pPr>
              <w:pStyle w:val="Compact"/>
              <w:jc w:val="left"/>
            </w:pPr>
            <w:r>
              <w:rPr>
                <w:rStyle w:val="VerbatimChar"/>
              </w:rPr>
              <w:t xml:space="preserve">currency</w:t>
            </w:r>
          </w:p>
        </w:tc>
        <w:tc>
          <w:tcPr/>
          <w:p>
            <w:pPr>
              <w:pStyle w:val="Compact"/>
              <w:jc w:val="left"/>
            </w:pPr>
            <w:r>
              <w:t xml:space="preserve">124</w:t>
            </w:r>
          </w:p>
        </w:tc>
        <w:tc>
          <w:tcPr/>
          <w:p>
            <w:pPr>
              <w:pStyle w:val="Compact"/>
              <w:jc w:val="left"/>
            </w:pPr>
            <w:r>
              <w:t xml:space="preserve">ISO 4217 numeric code, here CAD</w:t>
            </w:r>
          </w:p>
        </w:tc>
      </w:tr>
      <w:tr>
        <w:tc>
          <w:tcPr/>
          <w:p>
            <w:pPr>
              <w:pStyle w:val="Compact"/>
              <w:jc w:val="left"/>
            </w:pPr>
            <w:r>
              <w:rPr>
                <w:rStyle w:val="VerbatimChar"/>
              </w:rPr>
              <w:t xml:space="preserve">consumptionTier</w:t>
            </w:r>
            <w:r>
              <w:t xml:space="preserve">,</w:t>
            </w:r>
            <w:r>
              <w:t xml:space="preserve"> </w:t>
            </w:r>
            <w:r>
              <w:rPr>
                <w:rStyle w:val="VerbatimChar"/>
              </w:rPr>
              <w:t xml:space="preserve">tou</w:t>
            </w:r>
            <w:r>
              <w:t xml:space="preserve">,</w:t>
            </w:r>
            <w:r>
              <w:t xml:space="preserve"> </w:t>
            </w:r>
            <w:r>
              <w:rPr>
                <w:rStyle w:val="VerbatimChar"/>
              </w:rPr>
              <w:t xml:space="preserve">defaultQuality</w:t>
            </w:r>
            <w:r>
              <w:t xml:space="preserve">,</w:t>
            </w:r>
            <w:r>
              <w:t xml:space="preserve"> </w:t>
            </w:r>
            <w:r>
              <w:rPr>
                <w:rStyle w:val="VerbatimChar"/>
              </w:rPr>
              <w:t xml:space="preserve">timeAttribute</w:t>
            </w:r>
          </w:p>
        </w:tc>
        <w:tc>
          <w:tcPr/>
          <w:p>
            <w:pPr>
              <w:pStyle w:val="Compact"/>
              <w:jc w:val="left"/>
            </w:pPr>
            <w:r>
              <w:t xml:space="preserve">—</w:t>
            </w:r>
          </w:p>
        </w:tc>
        <w:tc>
          <w:tcPr/>
          <w:p>
            <w:pPr>
              <w:pStyle w:val="Compact"/>
              <w:jc w:val="left"/>
            </w:pPr>
            <w:r>
              <w:t xml:space="preserve">Tariff and quality qualifiers present in the ESPI class</w:t>
            </w:r>
          </w:p>
        </w:tc>
      </w:tr>
    </w:tbl>
    <w:p>
      <w:pPr>
        <w:pStyle w:val="BodyText"/>
      </w:pPr>
      <w:r>
        <w:rPr>
          <w:bCs/>
          <w:b/>
        </w:rPr>
        <w:t xml:space="preserve">A correction worth recording.</w:t>
      </w:r>
      <w:r>
        <w:t xml:space="preserve"> </w:t>
      </w:r>
      <w:r>
        <w:t xml:space="preserve">ESPI models ReadingType as separate attributes, as above</w:t>
      </w:r>
      <w:r>
        <w:t xml:space="preserve"> </w:t>
      </w:r>
      <w:r>
        <w:rPr>
          <w:bCs/>
          <w:b/>
        </w:rPr>
        <w:t xml:space="preserve">[V]</w:t>
      </w:r>
      <w:r>
        <w:t xml:space="preserve">. CIM implementations also use a concatenated multi-field ReadingType identifier string; that format could not be verified against a public source, so treat it as</w:t>
      </w:r>
      <w:r>
        <w:t xml:space="preserve"> </w:t>
      </w:r>
      <w:r>
        <w:rPr>
          <w:bCs/>
          <w:b/>
        </w:rPr>
        <w:t xml:space="preserve">[U]</w:t>
      </w:r>
      <w:r>
        <w:t xml:space="preserve"> </w:t>
      </w:r>
      <w:r>
        <w:t xml:space="preserve">until seen in the standard.</w:t>
      </w:r>
    </w:p>
    <w:p>
      <w:pPr>
        <w:pStyle w:val="BodyText"/>
      </w:pPr>
      <w:r>
        <w:rPr>
          <w:bCs/>
          <w:b/>
        </w:rPr>
        <w:t xml:space="preserve">Direct link to IEC.</w:t>
      </w:r>
      <w:r>
        <w:t xml:space="preserve"> </w:t>
      </w:r>
      <w:r>
        <w:t xml:space="preserve">The Green Button Alliance defines</w:t>
      </w:r>
      <w:r>
        <w:t xml:space="preserve"> </w:t>
      </w:r>
      <w:r>
        <w:rPr>
          <w:rStyle w:val="VerbatimChar"/>
        </w:rPr>
        <w:t xml:space="preserve">flowDirection</w:t>
      </w:r>
      <w:r>
        <w:t xml:space="preserve"> </w:t>
      </w:r>
      <w:r>
        <w:t xml:space="preserve">forward as delivered or imported as defined in 61968-2, citing the IEC 61968-2 glossary at https://webstore.iec.ch/publication/6201.</w:t>
      </w:r>
      <w:r>
        <w:t xml:space="preserve"> </w:t>
      </w:r>
      <w:r>
        <w:rPr>
          <w:bCs/>
          <w:b/>
        </w:rPr>
        <w:t xml:space="preserve">[V]</w:t>
      </w:r>
      <w:r>
        <w:t xml:space="preserve"> </w:t>
      </w:r>
      <w:r>
        <w:t xml:space="preserve">So the ESPI enumerations carry IEC semantics, not merely similar ones. That is what makes Green Button a legitimate free proxy for learning this profile.</w:t>
      </w:r>
    </w:p>
    <w:p>
      <w:pPr>
        <w:pStyle w:val="BodyText"/>
      </w:pPr>
      <w:r>
        <w:rPr>
          <w:bCs/>
          <w:b/>
        </w:rPr>
        <w:t xml:space="preserve">For GB work,</w:t>
      </w:r>
      <w:r>
        <w:t xml:space="preserve"> </w:t>
      </w:r>
      <w:r>
        <w:t xml:space="preserve">half-hourly is 1800 seconds, and distinct ReadingTypes are needed for import, export and voltage. Model voltage explicitly: it is the attribute DNOs can access without consumption consent, and it drives connectivity inference.</w:t>
      </w:r>
      <w:r>
        <w:t xml:space="preserve"> </w:t>
      </w:r>
      <w:r>
        <w:rPr>
          <w:bCs/>
          <w:b/>
        </w:rPr>
        <w:t xml:space="preserve">[U]</w:t>
      </w:r>
    </w:p>
    <w:bookmarkEnd w:id="26"/>
    <w:bookmarkStart w:id="27" w:name="the-chain-that-unifies-both-products"/>
    <w:p>
      <w:pPr>
        <w:pStyle w:val="Heading1"/>
      </w:pPr>
      <w:r>
        <w:t xml:space="preserve">The chain that unifies both products</w:t>
      </w:r>
    </w:p>
    <w:p>
      <w:pPr>
        <w:pStyle w:val="FirstParagraph"/>
      </w:pPr>
      <w:r>
        <w:t xml:space="preserve">CIM already supplies the vocabulary for the LV connectivity problem. The chain from a meter to its feeder is a path through the model:</w:t>
      </w:r>
      <w:r>
        <w:t xml:space="preserve"> </w:t>
      </w:r>
      <w:r>
        <w:rPr>
          <w:bCs/>
          <w:b/>
        </w:rPr>
        <w:t xml:space="preserve">[P]</w:t>
      </w:r>
    </w:p>
    <w:p>
      <w:pPr>
        <w:pStyle w:val="SourceCode"/>
      </w:pPr>
      <w:r>
        <w:rPr>
          <w:rStyle w:val="VerbatimChar"/>
        </w:rPr>
        <w:t xml:space="preserve">UsagePoint → EnergyConsumer → Terminal → ConnectivityNode</w:t>
      </w:r>
      <w:r>
        <w:br/>
      </w:r>
      <w:r>
        <w:rPr>
          <w:rStyle w:val="VerbatimChar"/>
        </w:rPr>
        <w:t xml:space="preserve">           → ACLineSegment → Feeder → Substation</w:t>
      </w:r>
    </w:p>
    <w:p>
      <w:pPr>
        <w:pStyle w:val="FirstParagraph"/>
      </w:pPr>
      <w:r>
        <w:t xml:space="preserve">That path is exactly what DNO records get wrong — which customer sits on which feeder and phase. The AI capability is inferring and correcting it from meter voltage data.</w:t>
      </w:r>
    </w:p>
    <w:p>
      <w:pPr>
        <w:pStyle w:val="BodyText"/>
      </w:pPr>
      <w:r>
        <w:t xml:space="preserve">So the two products are one model seen from two ends. ETP gives provenance on the readings; the twin infers the chain those readings imply. Stated that way it is one platform with two capabilities, which is a far easier story to sell than two products.</w:t>
      </w:r>
    </w:p>
    <w:p>
      <w:pPr>
        <w:pStyle w:val="BodyText"/>
      </w:pPr>
      <w:r>
        <w:t xml:space="preserve">Practical consequence: model the chain as a first-class, versioned object with a confidence score per link. A DNO’s existing record is a hypothesis, not ground truth, and the value is in quantifying the difference.</w:t>
      </w:r>
      <w:r>
        <w:t xml:space="preserve"> </w:t>
      </w:r>
      <w:r>
        <w:rPr>
          <w:bCs/>
          <w:b/>
        </w:rPr>
        <w:t xml:space="preserve">[U]</w:t>
      </w:r>
    </w:p>
    <w:bookmarkEnd w:id="27"/>
    <w:bookmarkStart w:id="28" w:name="X1e23448903d1637c518e27fcf793b33c5f772b2"/>
    <w:p>
      <w:pPr>
        <w:pStyle w:val="Heading1"/>
      </w:pPr>
      <w:r>
        <w:t xml:space="preserve">mRID and identity: where interoperability fails</w:t>
      </w:r>
    </w:p>
    <w:p>
      <w:pPr>
        <w:pStyle w:val="FirstParagraph"/>
      </w:pPr>
      <w:r>
        <w:t xml:space="preserve">Every</w:t>
      </w:r>
      <w:r>
        <w:t xml:space="preserve"> </w:t>
      </w:r>
      <w:r>
        <w:rPr>
          <w:rStyle w:val="VerbatimChar"/>
        </w:rPr>
        <w:t xml:space="preserve">IdentifiedObject</w:t>
      </w:r>
      <w:r>
        <w:t xml:space="preserve"> </w:t>
      </w:r>
      <w:r>
        <w:t xml:space="preserve">carries an mRID, normally a UUID.</w:t>
      </w:r>
      <w:r>
        <w:t xml:space="preserve"> </w:t>
      </w:r>
      <w:r>
        <w:rPr>
          <w:bCs/>
          <w:b/>
        </w:rPr>
        <w:t xml:space="preserve">[P]</w:t>
      </w:r>
      <w:r>
        <w:t xml:space="preserve"> </w:t>
      </w:r>
      <w:r>
        <w:t xml:space="preserve">Most real integration pain is mRID lifecycle, not modelling: if identifiers are not stable across exports, downstream systems see deletions and creations instead of updates.</w:t>
      </w:r>
    </w:p>
    <w:p>
      <w:pPr>
        <w:pStyle w:val="BodyText"/>
      </w:pPr>
      <w:r>
        <w:t xml:space="preserve">Green Button states the requirement precisely, and this is</w:t>
      </w:r>
      <w:r>
        <w:t xml:space="preserve"> </w:t>
      </w:r>
      <w:r>
        <w:rPr>
          <w:bCs/>
          <w:b/>
        </w:rPr>
        <w:t xml:space="preserve">[V]</w:t>
      </w:r>
      <w:r>
        <w:t xml:space="preserve"> </w:t>
      </w:r>
      <w:r>
        <w:t xml:space="preserve">(https://www.greenbuttonalliance.org/generating-persistent-uuids): identifiers must be permanent, repeatable and unique, and must not change when a new access token is issued. Each identifier is established once and does not change.</w:t>
      </w:r>
    </w:p>
    <w:p>
      <w:pPr>
        <w:pStyle w:val="BodyText"/>
      </w:pPr>
      <w:r>
        <w:rPr>
          <w:bCs/>
          <w:b/>
        </w:rPr>
        <w:t xml:space="preserve">The implementable pattern.</w:t>
      </w:r>
      <w:r>
        <w:t xml:space="preserve"> </w:t>
      </w:r>
      <w:r>
        <w:t xml:space="preserve">Use version-5 UUIDs, which derive deterministically from a namespace plus a name via SHA-1, so the same input always yields the same output and the value never needs storing.</w:t>
      </w:r>
      <w:r>
        <w:t xml:space="preserve"> </w:t>
      </w:r>
      <w:r>
        <w:rPr>
          <w:bCs/>
          <w:b/>
        </w:rPr>
        <w:t xml:space="preserve">[V]</w:t>
      </w:r>
      <w:r>
        <w:t xml:space="preserve"> </w:t>
      </w:r>
      <w:r>
        <w:t xml:space="preserve">The guarantees are that the same name in the same namespace gives equal UUIDs, and different names give different ones with very high probability.</w:t>
      </w:r>
    </w:p>
    <w:p>
      <w:pPr>
        <w:pStyle w:val="BodyText"/>
      </w:pPr>
      <w:r>
        <w:t xml:space="preserve">The worked example is a utility deriving its own namespace from its domain, then minting meter identifiers from service address plus meter designation.</w:t>
      </w:r>
      <w:r>
        <w:t xml:space="preserve"> </w:t>
      </w:r>
      <w:r>
        <w:rPr>
          <w:bCs/>
          <w:b/>
        </w:rPr>
        <w:t xml:space="preserve">[V]</w:t>
      </w:r>
      <w:r>
        <w:t xml:space="preserve"> </w:t>
      </w:r>
      <w:r>
        <w:t xml:space="preserve">Note this yields an mRID for an asset whose identifier you were never told — useful when DNO records are incomplete.</w:t>
      </w:r>
    </w:p>
    <w:p>
      <w:pPr>
        <w:pStyle w:val="BodyText"/>
      </w:pPr>
      <w:r>
        <w:rPr>
          <w:bCs/>
          <w:b/>
        </w:rPr>
        <w:t xml:space="preserve">Two details that will bite.</w:t>
      </w:r>
      <w:r>
        <w:t xml:space="preserve"> </w:t>
      </w:r>
      <w:r>
        <w:t xml:space="preserve">Generate per RFC 4122 rather than RFC 9562, despite 9562 superseding it in 2024, because the newer RFC permits mixed-case hex; emit lowercase, accept any case.</w:t>
      </w:r>
      <w:r>
        <w:t xml:space="preserve"> </w:t>
      </w:r>
      <w:r>
        <w:rPr>
          <w:bCs/>
          <w:b/>
        </w:rPr>
        <w:t xml:space="preserve">[V]</w:t>
      </w:r>
      <w:r>
        <w:t xml:space="preserve"> </w:t>
      </w:r>
      <w:r>
        <w:t xml:space="preserve">And note the deliberate exception: interval block identifiers should be based on a repeatable timestamp, because re-requesting an estimated interval must return the same identifier so the consumer knows it is a replacement rather than a new reading.</w:t>
      </w:r>
      <w:r>
        <w:t xml:space="preserve"> </w:t>
      </w:r>
      <w:r>
        <w:rPr>
          <w:bCs/>
          <w:b/>
        </w:rPr>
        <w:t xml:space="preserve">[V]</w:t>
      </w:r>
    </w:p>
    <w:p>
      <w:pPr>
        <w:pStyle w:val="BodyText"/>
      </w:pPr>
      <w:r>
        <w:t xml:space="preserve">That last rule is directly relevant to the omission-detection design. Repeatable identifiers make revisions distinguishable from insertions without any additional protocol.</w:t>
      </w:r>
    </w:p>
    <w:bookmarkEnd w:id="28"/>
    <w:bookmarkStart w:id="29" w:name="serialisation"/>
    <w:p>
      <w:pPr>
        <w:pStyle w:val="Heading1"/>
      </w:pPr>
      <w:r>
        <w:t xml:space="preserve">Serialisation</w:t>
      </w:r>
    </w:p>
    <w:p>
      <w:pPr>
        <w:pStyle w:val="FirstParagraph"/>
      </w:pPr>
      <w:r>
        <w:t xml:space="preserve">Three serialisations matter, and only the second is likely needed.</w:t>
      </w:r>
    </w:p>
    <w:p>
      <w:pPr>
        <w:pStyle w:val="BodyText"/>
      </w:pPr>
      <w:r>
        <w:rPr>
          <w:bCs/>
          <w:b/>
        </w:rPr>
        <w:t xml:space="preserve">CIM/XML (RDF-XML)</w:t>
      </w:r>
      <w:r>
        <w:t xml:space="preserve"> </w:t>
      </w:r>
      <w:r>
        <w:t xml:space="preserve">per IEC 61970-552:2016 for network models.</w:t>
      </w:r>
      <w:r>
        <w:t xml:space="preserve"> </w:t>
      </w:r>
      <w:r>
        <w:rPr>
          <w:bCs/>
          <w:b/>
        </w:rPr>
        <w:t xml:space="preserve">[V]</w:t>
      </w:r>
      <w:r>
        <w:t xml:space="preserve"> </w:t>
      </w:r>
      <w:r>
        <w:t xml:space="preserve">Classes become RDF resources, associations become references, and files split by profile. ENTSO-E publishes an RDF-Syntax User Guide v2.0.0, released 28 January 2026, at https://www.entsoe.eu/Documents/CIM_documents/Grid_Model_CIM/RDF-SyntaxUserGuide_v_2-0-0.pdf.</w:t>
      </w:r>
      <w:r>
        <w:t xml:space="preserve"> </w:t>
      </w:r>
      <w:r>
        <w:rPr>
          <w:bCs/>
          <w:b/>
        </w:rPr>
        <w:t xml:space="preserve">[V]</w:t>
      </w:r>
      <w:r>
        <w:t xml:space="preserve"> </w:t>
      </w:r>
      <w:r>
        <w:t xml:space="preserve">Free, and the fastest way to understand the syntax rules without buying 552.</w:t>
      </w:r>
    </w:p>
    <w:p>
      <w:pPr>
        <w:pStyle w:val="BodyText"/>
      </w:pPr>
      <w:r>
        <w:rPr>
          <w:bCs/>
          <w:b/>
        </w:rPr>
        <w:t xml:space="preserve">Atom plus ESPI XML</w:t>
      </w:r>
      <w:r>
        <w:t xml:space="preserve"> </w:t>
      </w:r>
      <w:r>
        <w:t xml:space="preserve">for metering, as Green Button uses.</w:t>
      </w:r>
      <w:r>
        <w:t xml:space="preserve"> </w:t>
      </w:r>
      <w:r>
        <w:rPr>
          <w:bCs/>
          <w:b/>
        </w:rPr>
        <w:t xml:space="preserve">[V]</w:t>
      </w:r>
      <w:r>
        <w:t xml:space="preserve"> </w:t>
      </w:r>
      <w:r>
        <w:t xml:space="preserve">Energy data sits in Atom feed and entry wrappers, with ESPI resources inside content elements under namespace</w:t>
      </w:r>
      <w:r>
        <w:t xml:space="preserve"> </w:t>
      </w:r>
      <w:r>
        <w:rPr>
          <w:rStyle w:val="VerbatimChar"/>
        </w:rPr>
        <w:t xml:space="preserve">http://naesb.org/espi</w:t>
      </w:r>
      <w:r>
        <w:t xml:space="preserve">. The schema is public at https://www.naesb.org/espi.xsd.</w:t>
      </w:r>
      <w:r>
        <w:t xml:space="preserve"> </w:t>
      </w:r>
      <w:r>
        <w:rPr>
          <w:bCs/>
          <w:b/>
        </w:rPr>
        <w:t xml:space="preserve">[V]</w:t>
      </w:r>
      <w:r>
        <w:t xml:space="preserve"> </w:t>
      </w:r>
      <w:r>
        <w:t xml:space="preserve">For a metering platform this is the cheapest conformance target available.</w:t>
      </w:r>
    </w:p>
    <w:p>
      <w:pPr>
        <w:pStyle w:val="BodyText"/>
      </w:pPr>
      <w:r>
        <w:rPr>
          <w:bCs/>
          <w:b/>
        </w:rPr>
        <w:t xml:space="preserve">RDFS and SHACL vocabularies</w:t>
      </w:r>
      <w:r>
        <w:t xml:space="preserve"> </w:t>
      </w:r>
      <w:r>
        <w:t xml:space="preserve">for profile definition and validation, as ENTSO-E now publishes.</w:t>
      </w:r>
      <w:r>
        <w:t xml:space="preserve"> </w:t>
      </w:r>
      <w:r>
        <w:rPr>
          <w:bCs/>
          <w:b/>
        </w:rPr>
        <w:t xml:space="preserve">[V]</w:t>
      </w:r>
    </w:p>
    <w:p>
      <w:pPr>
        <w:pStyle w:val="BodyText"/>
      </w:pPr>
      <w:r>
        <w:t xml:space="preserve">61968 also defines XSD-based request, response and event message payloads with verb and noun headers, historically over an enterprise service bus.</w:t>
      </w:r>
      <w:r>
        <w:t xml:space="preserve"> </w:t>
      </w:r>
      <w:r>
        <w:rPr>
          <w:bCs/>
          <w:b/>
        </w:rPr>
        <w:t xml:space="preserve">[P]</w:t>
      </w:r>
      <w:r>
        <w:t xml:space="preserve"> </w:t>
      </w:r>
      <w:r>
        <w:t xml:space="preserve">Verify against 61968-1 and -3 before building to it; the ESB assumption may not match how a modern DNO wants to integrate.</w:t>
      </w:r>
    </w:p>
    <w:bookmarkEnd w:id="29"/>
    <w:bookmarkStart w:id="30" w:name="cgmes-context-not-a-dependency"/>
    <w:p>
      <w:pPr>
        <w:pStyle w:val="Heading1"/>
      </w:pPr>
      <w:r>
        <w:t xml:space="preserve">CGMES: context, not a dependency</w:t>
      </w:r>
    </w:p>
    <w:p>
      <w:pPr>
        <w:pStyle w:val="FirstParagraph"/>
      </w:pPr>
      <w:r>
        <w:t xml:space="preserve">CGMES is ENTSO-E’s transmission profile, an International Standard since 2021 in its 3.0 form.</w:t>
      </w:r>
      <w:r>
        <w:t xml:space="preserve"> </w:t>
      </w:r>
      <w:r>
        <w:rPr>
          <w:bCs/>
          <w:b/>
        </w:rPr>
        <w:t xml:space="preserve">[V]</w:t>
      </w:r>
      <w:r>
        <w:t xml:space="preserve"> </w:t>
      </w:r>
      <w:r>
        <w:t xml:space="preserve">You are unlikely to implement it, but everyone senior in this field knows it, so know the shape.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Key standards</w:t>
            </w:r>
          </w:p>
        </w:tc>
      </w:tr>
      <w:tr>
        <w:tc>
          <w:tcPr/>
          <w:p>
            <w:pPr>
              <w:pStyle w:val="Compact"/>
              <w:jc w:val="left"/>
            </w:pPr>
            <w:r>
              <w:t xml:space="preserve">CGMES 2.4.15</w:t>
            </w:r>
          </w:p>
        </w:tc>
        <w:tc>
          <w:tcPr/>
          <w:p>
            <w:pPr>
              <w:pStyle w:val="Compact"/>
              <w:jc w:val="left"/>
            </w:pPr>
            <w:r>
              <w:t xml:space="preserve">Production version, used for the CGM programme go-live in 2021</w:t>
            </w:r>
          </w:p>
        </w:tc>
        <w:tc>
          <w:tcPr/>
          <w:p>
            <w:pPr>
              <w:pStyle w:val="Compact"/>
              <w:jc w:val="left"/>
            </w:pPr>
            <w:r>
              <w:t xml:space="preserve">IEC TS 61970-600-1:2017 and -600-2:2017, now replaced</w:t>
            </w:r>
          </w:p>
        </w:tc>
      </w:tr>
      <w:tr>
        <w:tc>
          <w:tcPr/>
          <w:p>
            <w:pPr>
              <w:pStyle w:val="Compact"/>
              <w:jc w:val="left"/>
            </w:pPr>
            <w:r>
              <w:t xml:space="preserve">CGMES 3.0</w:t>
            </w:r>
          </w:p>
        </w:tc>
        <w:tc>
          <w:tcPr/>
          <w:p>
            <w:pPr>
              <w:pStyle w:val="Compact"/>
              <w:jc w:val="left"/>
            </w:pPr>
            <w:r>
              <w:t xml:space="preserve">International Standard Ed1 since 2021</w:t>
            </w:r>
          </w:p>
        </w:tc>
        <w:tc>
          <w:tcPr/>
          <w:p>
            <w:pPr>
              <w:pStyle w:val="Compact"/>
              <w:jc w:val="left"/>
            </w:pPr>
            <w:r>
              <w:t xml:space="preserve">IEC TS 61970-600-1:2021 and -600-2:2021</w:t>
            </w:r>
          </w:p>
        </w:tc>
      </w:tr>
    </w:tbl>
    <w:p>
      <w:pPr>
        <w:pStyle w:val="BodyText"/>
      </w:pPr>
      <w:r>
        <w:t xml:space="preserve">All</w:t>
      </w:r>
      <w:r>
        <w:t xml:space="preserve"> </w:t>
      </w:r>
      <w:r>
        <w:rPr>
          <w:bCs/>
          <w:b/>
        </w:rPr>
        <w:t xml:space="preserve">[V]</w:t>
      </w:r>
      <w:r>
        <w:t xml:space="preserve"> </w:t>
      </w:r>
      <w:r>
        <w:t xml:space="preserve">from the CGMES Library.</w:t>
      </w:r>
    </w:p>
    <w:p>
      <w:pPr>
        <w:pStyle w:val="BodyText"/>
      </w:pPr>
      <w:r>
        <w:rPr>
          <w:bCs/>
          <w:b/>
        </w:rPr>
        <w:t xml:space="preserve">Free assets worth taking even though the work is in distribution:</w:t>
      </w:r>
    </w:p>
    <w:p>
      <w:pPr>
        <w:numPr>
          <w:ilvl w:val="0"/>
          <w:numId w:val="1002"/>
        </w:numPr>
        <w:pStyle w:val="Compact"/>
      </w:pPr>
      <w:r>
        <w:t xml:space="preserve">Application Profiles Library — RDFS and SHACL artefacts, Apache 2.0: https://github.com/entsoe/application-profiles-library</w:t>
      </w:r>
      <w:r>
        <w:t xml:space="preserve"> </w:t>
      </w:r>
      <w:r>
        <w:rPr>
          <w:bCs/>
          <w:b/>
        </w:rPr>
        <w:t xml:space="preserve">[V]</w:t>
      </w:r>
    </w:p>
    <w:p>
      <w:pPr>
        <w:numPr>
          <w:ilvl w:val="0"/>
          <w:numId w:val="1002"/>
        </w:numPr>
        <w:pStyle w:val="Compact"/>
      </w:pPr>
      <w:r>
        <w:t xml:space="preserve">ReliCapGrid — open-source synthetic, anonymous test model: https://github.com/entsoe-tso/relicapgrid/</w:t>
      </w:r>
      <w:r>
        <w:t xml:space="preserve"> </w:t>
      </w:r>
      <w:r>
        <w:rPr>
          <w:bCs/>
          <w:b/>
        </w:rPr>
        <w:t xml:space="preserve">[V]</w:t>
      </w:r>
    </w:p>
    <w:p>
      <w:pPr>
        <w:numPr>
          <w:ilvl w:val="0"/>
          <w:numId w:val="1002"/>
        </w:numPr>
        <w:pStyle w:val="Compact"/>
      </w:pPr>
      <w:r>
        <w:t xml:space="preserve">CGMES 2.4.15 RDFS and UML component packages, downloadable from the Library</w:t>
      </w:r>
      <w:r>
        <w:t xml:space="preserve"> </w:t>
      </w:r>
      <w:r>
        <w:rPr>
          <w:bCs/>
          <w:b/>
        </w:rPr>
        <w:t xml:space="preserve">[V]</w:t>
      </w:r>
    </w:p>
    <w:p>
      <w:pPr>
        <w:numPr>
          <w:ilvl w:val="0"/>
          <w:numId w:val="1002"/>
        </w:numPr>
        <w:pStyle w:val="Compact"/>
      </w:pPr>
      <w:r>
        <w:t xml:space="preserve">CGMES Profiling User Guide: https://www.entsoe.eu/Documents/CIM_documents/Grid_Model_CIM/CGMES_Profiling_User_Guide_v1.0.pdf</w:t>
      </w:r>
      <w:r>
        <w:t xml:space="preserve"> </w:t>
      </w:r>
      <w:r>
        <w:rPr>
          <w:bCs/>
          <w:b/>
        </w:rPr>
        <w:t xml:space="preserve">[V]</w:t>
      </w:r>
    </w:p>
    <w:p>
      <w:pPr>
        <w:pStyle w:val="FirstParagraph"/>
      </w:pPr>
      <w:r>
        <w:t xml:space="preserve">ENTSO-E also runs a conformity assessment scheme and publishes attestations, so vendors declare conformance against named CGMES versions.</w:t>
      </w:r>
      <w:r>
        <w:t xml:space="preserve"> </w:t>
      </w:r>
      <w:r>
        <w:rPr>
          <w:bCs/>
          <w:b/>
        </w:rPr>
        <w:t xml:space="preserve">[V]</w:t>
      </w:r>
      <w:r>
        <w:t xml:space="preserve"> </w:t>
      </w:r>
      <w:r>
        <w:t xml:space="preserve">That is the model to aim for with your own profile claims: an attestation, not an assertion.</w:t>
      </w:r>
    </w:p>
    <w:bookmarkEnd w:id="30"/>
    <w:bookmarkStart w:id="31" w:name="mapping-cim-onto-a-lakehouse"/>
    <w:p>
      <w:pPr>
        <w:pStyle w:val="Heading1"/>
      </w:pPr>
      <w:r>
        <w:t xml:space="preserve">Mapping CIM onto a lakehouse</w:t>
      </w:r>
    </w:p>
    <w:p>
      <w:pPr>
        <w:pStyle w:val="FirstParagraph"/>
      </w:pPr>
      <w:r>
        <w:t xml:space="preserve">CIM is deeply inherited, association-heavy and graph-shaped; columnar storage is flat and denormalised. There is no clean answer, only a choice of costs.</w:t>
      </w:r>
      <w:r>
        <w:t xml:space="preserve"> </w:t>
      </w:r>
      <w:r>
        <w:rPr>
          <w:bCs/>
          <w:b/>
        </w:rPr>
        <w:t xml:space="preserve">[U]</w:t>
      </w:r>
      <w:r>
        <w:t xml:space="preserve"> </w:t>
      </w:r>
      <w:r>
        <w:t xml:space="preserve">— this section is engineering judgement, not standard.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Gain</w:t>
            </w:r>
          </w:p>
        </w:tc>
        <w:tc>
          <w:tcPr/>
          <w:p>
            <w:pPr>
              <w:pStyle w:val="Compact"/>
              <w:jc w:val="left"/>
            </w:pPr>
            <w:r>
              <w:t xml:space="preserve">Cost</w:t>
            </w:r>
          </w:p>
        </w:tc>
      </w:tr>
      <w:tr>
        <w:tc>
          <w:tcPr/>
          <w:p>
            <w:pPr>
              <w:pStyle w:val="Compact"/>
              <w:jc w:val="left"/>
            </w:pPr>
            <w:r>
              <w:t xml:space="preserve">Flatten per profile into wide tables</w:t>
            </w:r>
          </w:p>
        </w:tc>
        <w:tc>
          <w:tcPr/>
          <w:p>
            <w:pPr>
              <w:pStyle w:val="Compact"/>
              <w:jc w:val="left"/>
            </w:pPr>
            <w:r>
              <w:t xml:space="preserve">Fast queries, simple schema</w:t>
            </w:r>
          </w:p>
        </w:tc>
        <w:tc>
          <w:tcPr/>
          <w:p>
            <w:pPr>
              <w:pStyle w:val="Compact"/>
              <w:jc w:val="left"/>
            </w:pPr>
            <w:r>
              <w:t xml:space="preserve">Loses generality; breaks when the profile changes</w:t>
            </w:r>
          </w:p>
        </w:tc>
      </w:tr>
      <w:tr>
        <w:tc>
          <w:tcPr/>
          <w:p>
            <w:pPr>
              <w:pStyle w:val="Compact"/>
              <w:jc w:val="left"/>
            </w:pPr>
            <w:r>
              <w:t xml:space="preserve">Triple or quad store</w:t>
            </w:r>
          </w:p>
        </w:tc>
        <w:tc>
          <w:tcPr/>
          <w:p>
            <w:pPr>
              <w:pStyle w:val="Compact"/>
              <w:jc w:val="left"/>
            </w:pPr>
            <w:r>
              <w:t xml:space="preserve">Fully general, profile changes are free</w:t>
            </w:r>
          </w:p>
        </w:tc>
        <w:tc>
          <w:tcPr/>
          <w:p>
            <w:pPr>
              <w:pStyle w:val="Compact"/>
              <w:jc w:val="left"/>
            </w:pPr>
            <w:r>
              <w:t xml:space="preserve">Query performance and developer ergonomics suffer</w:t>
            </w:r>
          </w:p>
        </w:tc>
      </w:tr>
      <w:tr>
        <w:tc>
          <w:tcPr/>
          <w:p>
            <w:pPr>
              <w:pStyle w:val="Compact"/>
              <w:jc w:val="left"/>
            </w:pPr>
            <w:r>
              <w:t xml:space="preserve">Hybrid: graph for topology, columnar for time series</w:t>
            </w:r>
          </w:p>
        </w:tc>
        <w:tc>
          <w:tcPr/>
          <w:p>
            <w:pPr>
              <w:pStyle w:val="Compact"/>
              <w:jc w:val="left"/>
            </w:pPr>
            <w:r>
              <w:t xml:space="preserve">Each layer plays to its strength</w:t>
            </w:r>
          </w:p>
        </w:tc>
        <w:tc>
          <w:tcPr/>
          <w:p>
            <w:pPr>
              <w:pStyle w:val="Compact"/>
              <w:jc w:val="left"/>
            </w:pPr>
            <w:r>
              <w:t xml:space="preserve">Two systems, a join boundary, consistency to manage</w:t>
            </w:r>
          </w:p>
        </w:tc>
      </w:tr>
    </w:tbl>
    <w:p>
      <w:pPr>
        <w:pStyle w:val="BodyText"/>
      </w:pPr>
      <w:r>
        <w:t xml:space="preserve">The existing split — Apache AGE for the graph, Iceberg for readings, joined on mRID — is the hybrid, and it is the right shape. Make the boundary explicit in DD-001 and defend it, because it is the first design decision a CIM-literate architect will probe.</w:t>
      </w:r>
    </w:p>
    <w:p>
      <w:pPr>
        <w:pStyle w:val="BodyText"/>
      </w:pPr>
      <w:r>
        <w:rPr>
          <w:bCs/>
          <w:b/>
        </w:rPr>
        <w:t xml:space="preserve">Three specifics to settle:</w:t>
      </w:r>
    </w:p>
    <w:p>
      <w:pPr>
        <w:numPr>
          <w:ilvl w:val="0"/>
          <w:numId w:val="1003"/>
        </w:numPr>
        <w:pStyle w:val="Compact"/>
      </w:pPr>
      <w:r>
        <w:rPr>
          <w:bCs/>
          <w:b/>
        </w:rPr>
        <w:t xml:space="preserve">Do not model CIM inheritance as table inheritance.</w:t>
      </w:r>
      <w:r>
        <w:t xml:space="preserve"> </w:t>
      </w:r>
      <w:r>
        <w:t xml:space="preserve">Flatten to the concrete classes the profile uses and keep the type as a column.</w:t>
      </w:r>
    </w:p>
    <w:p>
      <w:pPr>
        <w:numPr>
          <w:ilvl w:val="0"/>
          <w:numId w:val="1003"/>
        </w:numPr>
        <w:pStyle w:val="Compact"/>
      </w:pPr>
      <w:r>
        <w:rPr>
          <w:bCs/>
          <w:b/>
        </w:rPr>
        <w:t xml:space="preserve">Readings are not CIM-shaped at rest.</w:t>
      </w:r>
      <w:r>
        <w:t xml:space="preserve"> </w:t>
      </w:r>
      <w:r>
        <w:t xml:space="preserve">Store them as a narrow fact table keyed by usage point mRID, reading type mRID and timestamp. Emit CIM only at the interface.</w:t>
      </w:r>
    </w:p>
    <w:p>
      <w:pPr>
        <w:numPr>
          <w:ilvl w:val="0"/>
          <w:numId w:val="1003"/>
        </w:numPr>
        <w:pStyle w:val="Compact"/>
      </w:pPr>
      <w:r>
        <w:rPr>
          <w:bCs/>
          <w:b/>
        </w:rPr>
        <w:t xml:space="preserve">Partition on time, not on mRID.</w:t>
      </w:r>
      <w:r>
        <w:t xml:space="preserve"> </w:t>
      </w:r>
      <w:r>
        <w:t xml:space="preserve">30-second micro-batches at 50k rows will generate small files; plan compaction from the start rather than discovering manifest bloat in month six.</w:t>
      </w:r>
    </w:p>
    <w:p>
      <w:pPr>
        <w:pStyle w:val="FirstParagraph"/>
      </w:pPr>
      <w:r>
        <w:t xml:space="preserve">The general principle: let CIM govern interfaces and vocabulary, not physical storage. Platforms that store the canonical model literally tend to end up slow and hard to change.</w:t>
      </w:r>
    </w:p>
    <w:bookmarkEnd w:id="31"/>
    <w:bookmarkStart w:id="32" w:name="gb-reality-check"/>
    <w:p>
      <w:pPr>
        <w:pStyle w:val="Heading1"/>
      </w:pPr>
      <w:r>
        <w:t xml:space="preserve">GB reality check</w:t>
      </w:r>
    </w:p>
    <w:p>
      <w:pPr>
        <w:pStyle w:val="FirstParagraph"/>
      </w:pPr>
      <w:r>
        <w:t xml:space="preserve">CIM adoption in GB distribution is partial, concentrated around network models and vendor interfaces rather than as a universal internal standard.</w:t>
      </w:r>
      <w:r>
        <w:t xml:space="preserve"> </w:t>
      </w:r>
      <w:r>
        <w:rPr>
          <w:bCs/>
          <w:b/>
        </w:rPr>
        <w:t xml:space="preserve">[U]</w:t>
      </w:r>
      <w:r>
        <w:t xml:space="preserve"> </w:t>
      </w:r>
      <w:r>
        <w:t xml:space="preserve">— confirm with any DNO data architect you speak to.</w:t>
      </w:r>
    </w:p>
    <w:p>
      <w:pPr>
        <w:pStyle w:val="BodyText"/>
      </w:pPr>
      <w:r>
        <w:t xml:space="preserve">GB smart meter data does not flow in CIM. It flows through the DCC under GBCS and the industry data flows, and DNOs then aggregate it.</w:t>
      </w:r>
      <w:r>
        <w:t xml:space="preserve"> </w:t>
      </w:r>
      <w:r>
        <w:rPr>
          <w:bCs/>
          <w:b/>
        </w:rPr>
        <w:t xml:space="preserve">[U]</w:t>
      </w:r>
    </w:p>
    <w:p>
      <w:pPr>
        <w:pStyle w:val="BodyText"/>
      </w:pPr>
      <w:r>
        <w:rPr>
          <w:bCs/>
          <w:b/>
        </w:rPr>
        <w:t xml:space="preserve">So be precise about what CIM buys:</w:t>
      </w:r>
    </w:p>
    <w:p>
      <w:pPr>
        <w:numPr>
          <w:ilvl w:val="0"/>
          <w:numId w:val="1004"/>
        </w:numPr>
        <w:pStyle w:val="Compact"/>
      </w:pPr>
      <w:r>
        <w:t xml:space="preserve">Credibility with vendors, integrators and consultancies — the firms that implement for DNOs</w:t>
      </w:r>
      <w:r>
        <w:t xml:space="preserve"> </w:t>
      </w:r>
      <w:r>
        <w:rPr>
          <w:bCs/>
          <w:b/>
        </w:rPr>
        <w:t xml:space="preserve">[U]</w:t>
      </w:r>
    </w:p>
    <w:p>
      <w:pPr>
        <w:numPr>
          <w:ilvl w:val="0"/>
          <w:numId w:val="1004"/>
        </w:numPr>
        <w:pStyle w:val="Compact"/>
      </w:pPr>
      <w:r>
        <w:t xml:space="preserve">A defensible internal model, so schema decisions have a published justification</w:t>
      </w:r>
    </w:p>
    <w:p>
      <w:pPr>
        <w:numPr>
          <w:ilvl w:val="0"/>
          <w:numId w:val="1004"/>
        </w:numPr>
        <w:pStyle w:val="Compact"/>
      </w:pPr>
      <w:r>
        <w:t xml:space="preserve">A conformance story that can eventually be attested rather than asserted</w:t>
      </w:r>
    </w:p>
    <w:p>
      <w:pPr>
        <w:pStyle w:val="FirstParagraph"/>
      </w:pPr>
      <w:r>
        <w:rPr>
          <w:bCs/>
          <w:b/>
        </w:rPr>
        <w:t xml:space="preserve">What it does not buy:</w:t>
      </w:r>
      <w:r>
        <w:t xml:space="preserve"> </w:t>
      </w:r>
      <w:r>
        <w:t xml:space="preserve">an interface a GB DNO is already waiting to plug into. Do not claim that. It is the kind of claim that gets checked in the first technical meeting.</w:t>
      </w:r>
    </w:p>
    <w:p>
      <w:pPr>
        <w:pStyle w:val="BodyText"/>
      </w:pPr>
      <w:r>
        <w:rPr>
          <w:bCs/>
          <w:b/>
        </w:rPr>
        <w:t xml:space="preserve">Also worth knowing:</w:t>
      </w:r>
      <w:r>
        <w:t xml:space="preserve"> </w:t>
      </w:r>
      <w:r>
        <w:t xml:space="preserve">MultiSpeak is the North American alternative, widely used by cooperatives and smaller utilities.</w:t>
      </w:r>
      <w:r>
        <w:t xml:space="preserve"> </w:t>
      </w:r>
      <w:r>
        <w:rPr>
          <w:bCs/>
          <w:b/>
        </w:rPr>
        <w:t xml:space="preserve">[U]</w:t>
      </w:r>
    </w:p>
    <w:p>
      <w:pPr>
        <w:pStyle w:val="BodyText"/>
      </w:pPr>
      <w:r>
        <w:rPr>
          <w:bCs/>
          <w:b/>
        </w:rPr>
        <w:t xml:space="preserve">Open question to resolve.</w:t>
      </w:r>
      <w:r>
        <w:t xml:space="preserve"> </w:t>
      </w:r>
      <w:r>
        <w:t xml:space="preserve">Whether any GB DNO currently accepts a CIM-profiled interface for LV data, and what</w:t>
      </w:r>
      <w:r>
        <w:t xml:space="preserve"> </w:t>
      </w:r>
      <w:r>
        <w:t xml:space="preserve">“</w:t>
      </w:r>
      <w:r>
        <w:t xml:space="preserve">GB CIM</w:t>
      </w:r>
      <w:r>
        <w:t xml:space="preserve">”</w:t>
      </w:r>
      <w:r>
        <w:t xml:space="preserve"> </w:t>
      </w:r>
      <w:r>
        <w:t xml:space="preserve">covers as a named profile. Worth asking directly at the first innovation-team conversation, because the answer changes how much CIM work is worth doing now versus later.</w:t>
      </w:r>
    </w:p>
    <w:bookmarkEnd w:id="32"/>
    <w:bookmarkStart w:id="33" w:name="implementation-checklist"/>
    <w:p>
      <w:pPr>
        <w:pStyle w:val="Heading1"/>
      </w:pPr>
      <w:r>
        <w:t xml:space="preserve">Implementation checklist</w:t>
      </w:r>
    </w:p>
    <w:p>
      <w:pPr>
        <w:pStyle w:val="FirstParagraph"/>
      </w:pPr>
      <w:r>
        <w:t xml:space="preserve">Ordered by dependency. Items marked expensive to reverse should be settled before writing schema code.</w:t>
      </w:r>
    </w:p>
    <w:p>
      <w:pPr>
        <w:pStyle w:val="BodyText"/>
      </w:pPr>
      <w:r>
        <w:rPr>
          <w:bCs/>
          <w:b/>
        </w:rPr>
        <w:t xml:space="preserve">Free, do first — no purchases needed</w:t>
      </w:r>
    </w:p>
    <w:p>
      <w:pPr>
        <w:numPr>
          <w:ilvl w:val="0"/>
          <w:numId w:val="1005"/>
        </w:numPr>
        <w:pStyle w:val="Compact"/>
      </w:pPr>
      <w:r>
        <w:t xml:space="preserve">Clone the Application Profiles Library and read the SHACL shapes; this is the model reference until standards are bought</w:t>
      </w:r>
    </w:p>
    <w:p>
      <w:pPr>
        <w:numPr>
          <w:ilvl w:val="0"/>
          <w:numId w:val="1005"/>
        </w:numPr>
        <w:pStyle w:val="Compact"/>
      </w:pPr>
      <w:r>
        <w:t xml:space="preserve">Download ReliCapGrid and walk a real model graph end to end</w:t>
      </w:r>
    </w:p>
    <w:p>
      <w:pPr>
        <w:numPr>
          <w:ilvl w:val="0"/>
          <w:numId w:val="1005"/>
        </w:numPr>
        <w:pStyle w:val="Compact"/>
      </w:pPr>
      <w:r>
        <w:t xml:space="preserve">Read the RDF-Syntax User Guide v2.0.0</w:t>
      </w:r>
    </w:p>
    <w:p>
      <w:pPr>
        <w:numPr>
          <w:ilvl w:val="0"/>
          <w:numId w:val="1005"/>
        </w:numPr>
        <w:pStyle w:val="Compact"/>
      </w:pPr>
      <w:r>
        <w:t xml:space="preserve">Pull espi.xsd and parse a Green Button sample file</w:t>
      </w:r>
    </w:p>
    <w:p>
      <w:pPr>
        <w:pStyle w:val="FirstParagraph"/>
      </w:pPr>
      <w:r>
        <w:rPr>
          <w:bCs/>
          <w:b/>
        </w:rPr>
        <w:t xml:space="preserve">Expensive to reverse — settle before coding</w:t>
      </w:r>
    </w:p>
    <w:p>
      <w:pPr>
        <w:numPr>
          <w:ilvl w:val="0"/>
          <w:numId w:val="1006"/>
        </w:numPr>
        <w:pStyle w:val="Compact"/>
      </w:pPr>
      <w:r>
        <w:rPr>
          <w:bCs/>
          <w:b/>
        </w:rPr>
        <w:t xml:space="preserve">ReadingType catalogue.</w:t>
      </w:r>
      <w:r>
        <w:t xml:space="preserve"> </w:t>
      </w:r>
      <w:r>
        <w:t xml:space="preserve">Enumerate every reading type to be carried: import, export, voltage, reactive, per phase. This decides the fact-table schema</w:t>
      </w:r>
    </w:p>
    <w:p>
      <w:pPr>
        <w:numPr>
          <w:ilvl w:val="0"/>
          <w:numId w:val="1006"/>
        </w:numPr>
        <w:pStyle w:val="Compact"/>
      </w:pPr>
      <w:r>
        <w:rPr>
          <w:bCs/>
          <w:b/>
        </w:rPr>
        <w:t xml:space="preserve">mRID minting.</w:t>
      </w:r>
      <w:r>
        <w:t xml:space="preserve"> </w:t>
      </w:r>
      <w:r>
        <w:t xml:space="preserve">Adopt deterministic UUIDv5 from namespace plus name, lowercase, RFC 4122 form; decide the namespace now and write it down</w:t>
      </w:r>
    </w:p>
    <w:p>
      <w:pPr>
        <w:numPr>
          <w:ilvl w:val="0"/>
          <w:numId w:val="1006"/>
        </w:numPr>
        <w:pStyle w:val="Compact"/>
      </w:pPr>
      <w:r>
        <w:rPr>
          <w:bCs/>
          <w:b/>
        </w:rPr>
        <w:t xml:space="preserve">Interval identity rule.</w:t>
      </w:r>
      <w:r>
        <w:t xml:space="preserve"> </w:t>
      </w:r>
      <w:r>
        <w:t xml:space="preserve">Repeatable timestamp-derived identifiers for interval blocks, so revisions are distinguishable from insertions</w:t>
      </w:r>
    </w:p>
    <w:p>
      <w:pPr>
        <w:numPr>
          <w:ilvl w:val="0"/>
          <w:numId w:val="1006"/>
        </w:numPr>
        <w:pStyle w:val="Compact"/>
      </w:pPr>
      <w:r>
        <w:rPr>
          <w:bCs/>
          <w:b/>
        </w:rPr>
        <w:t xml:space="preserve">Graph/columnar boundary.</w:t>
      </w:r>
      <w:r>
        <w:t xml:space="preserve"> </w:t>
      </w:r>
      <w:r>
        <w:t xml:space="preserve">Document what lives in AGE, what lives in Iceberg, and what joins them</w:t>
      </w:r>
    </w:p>
    <w:p>
      <w:pPr>
        <w:pStyle w:val="FirstParagraph"/>
      </w:pPr>
      <w:r>
        <w:rPr>
          <w:bCs/>
          <w:b/>
        </w:rPr>
        <w:t xml:space="preserve">Then buy, in this order</w:t>
      </w:r>
    </w:p>
    <w:p>
      <w:pPr>
        <w:numPr>
          <w:ilvl w:val="0"/>
          <w:numId w:val="1007"/>
        </w:numPr>
        <w:pStyle w:val="Compact"/>
      </w:pPr>
      <w:r>
        <w:t xml:space="preserve">IEC 61968-9 — meter reading and control; you cannot proceed properly without it</w:t>
      </w:r>
    </w:p>
    <w:p>
      <w:pPr>
        <w:numPr>
          <w:ilvl w:val="0"/>
          <w:numId w:val="1007"/>
        </w:numPr>
        <w:pStyle w:val="Compact"/>
      </w:pPr>
      <w:r>
        <w:t xml:space="preserve">IEC 61970-301:2020+AMD1:2022 — the core semantic model</w:t>
      </w:r>
    </w:p>
    <w:p>
      <w:pPr>
        <w:numPr>
          <w:ilvl w:val="0"/>
          <w:numId w:val="1007"/>
        </w:numPr>
        <w:pStyle w:val="Compact"/>
      </w:pPr>
      <w:r>
        <w:t xml:space="preserve">IEC 61968-13:2021 — distribution network model exchange, when starting on topology</w:t>
      </w:r>
    </w:p>
    <w:p>
      <w:pPr>
        <w:pStyle w:val="FirstParagraph"/>
      </w:pPr>
      <w:r>
        <w:rPr>
          <w:bCs/>
          <w:b/>
        </w:rPr>
        <w:t xml:space="preserve">Finally</w:t>
      </w:r>
    </w:p>
    <w:p>
      <w:pPr>
        <w:numPr>
          <w:ilvl w:val="0"/>
          <w:numId w:val="1008"/>
        </w:numPr>
        <w:pStyle w:val="Compact"/>
      </w:pPr>
      <w:r>
        <w:t xml:space="preserve">Write the profile statement: which classes, which CIM version, which extensions</w:t>
      </w:r>
    </w:p>
    <w:p>
      <w:pPr>
        <w:numPr>
          <w:ilvl w:val="0"/>
          <w:numId w:val="1008"/>
        </w:numPr>
        <w:pStyle w:val="Compact"/>
      </w:pPr>
      <w:r>
        <w:t xml:space="preserve">Put SHACL validation in CI so conformance is a test result, not a claim</w:t>
      </w:r>
    </w:p>
    <w:p>
      <w:pPr>
        <w:numPr>
          <w:ilvl w:val="0"/>
          <w:numId w:val="1008"/>
        </w:numPr>
        <w:pStyle w:val="Compact"/>
      </w:pPr>
      <w:r>
        <w:t xml:space="preserve">Replace every unqualified</w:t>
      </w:r>
      <w:r>
        <w:t xml:space="preserve"> </w:t>
      </w:r>
      <w:r>
        <w:t xml:space="preserve">“</w:t>
      </w:r>
      <w:r>
        <w:t xml:space="preserve">CIM-compliant</w:t>
      </w:r>
      <w:r>
        <w:t xml:space="preserve">”</w:t>
      </w:r>
      <w:r>
        <w:t xml:space="preserve"> </w:t>
      </w:r>
      <w:r>
        <w:t xml:space="preserve">in existing documents with that statement</w:t>
      </w:r>
    </w:p>
    <w:bookmarkEnd w:id="33"/>
    <w:bookmarkStart w:id="34" w:name="sources-and-known-gaps"/>
    <w:p>
      <w:pPr>
        <w:pStyle w:val="Heading1"/>
      </w:pPr>
      <w:r>
        <w:t xml:space="preserve">Sources and known gaps</w:t>
      </w:r>
    </w:p>
    <w:p>
      <w:pPr>
        <w:pStyle w:val="FirstParagraph"/>
      </w:pPr>
      <w:r>
        <w:rPr>
          <w:bCs/>
          <w:b/>
        </w:rPr>
        <w:t xml:space="preserve">Pages opened and used for this document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Used for</w:t>
            </w:r>
          </w:p>
        </w:tc>
      </w:tr>
      <w:tr>
        <w:tc>
          <w:tcPr/>
          <w:p>
            <w:pPr>
              <w:pStyle w:val="Compact"/>
              <w:jc w:val="left"/>
            </w:pPr>
            <w:r>
              <w:t xml:space="preserve">ENTSO-E CGMES Library — https://www.entsoe.eu/data/cim/cim-for-grid-models-exchange/</w:t>
            </w:r>
          </w:p>
        </w:tc>
        <w:tc>
          <w:tcPr/>
          <w:p>
            <w:pPr>
              <w:pStyle w:val="Compact"/>
              <w:jc w:val="left"/>
            </w:pPr>
            <w:r>
              <w:t xml:space="preserve">Standard part numbers and editions, CGMES versions, EAP distribution, free artefacts</w:t>
            </w:r>
          </w:p>
        </w:tc>
      </w:tr>
      <w:tr>
        <w:tc>
          <w:tcPr/>
          <w:p>
            <w:pPr>
              <w:pStyle w:val="Compact"/>
              <w:jc w:val="left"/>
            </w:pPr>
            <w:r>
              <w:t xml:space="preserve">Green Button Alliance, Cost and Currency — https://www.greenbuttonalliance.org/costandcurrency</w:t>
            </w:r>
          </w:p>
        </w:tc>
        <w:tc>
          <w:tcPr/>
          <w:p>
            <w:pPr>
              <w:pStyle w:val="Compact"/>
              <w:jc w:val="left"/>
            </w:pPr>
            <w:r>
              <w:t xml:space="preserve">ReadingType attributes and enumeration meanings, link to IEC 61968-2</w:t>
            </w:r>
          </w:p>
        </w:tc>
      </w:tr>
      <w:tr>
        <w:tc>
          <w:tcPr/>
          <w:p>
            <w:pPr>
              <w:pStyle w:val="Compact"/>
              <w:jc w:val="left"/>
            </w:pPr>
            <w:r>
              <w:t xml:space="preserve">Green Button Alliance, Generating Persistent UUIDs — https://www.greenbuttonalliance.org/generating-persistent-uuids</w:t>
            </w:r>
          </w:p>
        </w:tc>
        <w:tc>
          <w:tcPr/>
          <w:p>
            <w:pPr>
              <w:pStyle w:val="Compact"/>
              <w:jc w:val="left"/>
            </w:pPr>
            <w:r>
              <w:t xml:space="preserve">mRID persistence rules, UUIDv5 method, RFC 4122 versus 9562</w:t>
            </w:r>
          </w:p>
        </w:tc>
      </w:tr>
      <w:tr>
        <w:tc>
          <w:tcPr/>
          <w:p>
            <w:pPr>
              <w:pStyle w:val="Compact"/>
              <w:jc w:val="left"/>
            </w:pPr>
            <w:r>
              <w:t xml:space="preserve">IEC 61970-600-1:2021 listing — https://webstore.iec.ch/en/publication/63866</w:t>
            </w:r>
          </w:p>
        </w:tc>
        <w:tc>
          <w:tcPr/>
          <w:p>
            <w:pPr>
              <w:pStyle w:val="Compact"/>
              <w:jc w:val="left"/>
            </w:pPr>
            <w:r>
              <w:t xml:space="preserve">CGMES definition and profile-constraint wording</w:t>
            </w:r>
          </w:p>
        </w:tc>
      </w:tr>
      <w:tr>
        <w:tc>
          <w:tcPr/>
          <w:p>
            <w:pPr>
              <w:pStyle w:val="Compact"/>
              <w:jc w:val="left"/>
            </w:pPr>
            <w:r>
              <w:t xml:space="preserve">IEC 61968-13:2021 listing (AFNOR)</w:t>
            </w:r>
          </w:p>
        </w:tc>
        <w:tc>
          <w:tcPr/>
          <w:p>
            <w:pPr>
              <w:pStyle w:val="Compact"/>
              <w:jc w:val="left"/>
            </w:pPr>
            <w:r>
              <w:t xml:space="preserve">Second edition status, CGMES and distribution transformation</w:t>
            </w:r>
          </w:p>
        </w:tc>
      </w:tr>
      <w:tr>
        <w:tc>
          <w:tcPr/>
          <w:p>
            <w:pPr>
              <w:pStyle w:val="Compact"/>
              <w:jc w:val="left"/>
            </w:pPr>
            <w:r>
              <w:t xml:space="preserve">ENTSO-E CIM Conformity — https://www.entsoe.eu/data/cim/cim-conformity-and-interoperability/</w:t>
            </w:r>
          </w:p>
        </w:tc>
        <w:tc>
          <w:tcPr/>
          <w:p>
            <w:pPr>
              <w:pStyle w:val="Compact"/>
              <w:jc w:val="left"/>
            </w:pPr>
            <w:r>
              <w:t xml:space="preserve">Conformity assessment and attestation model</w:t>
            </w:r>
          </w:p>
        </w:tc>
      </w:tr>
    </w:tbl>
    <w:p>
      <w:pPr>
        <w:pStyle w:val="BodyText"/>
      </w:pPr>
      <w:r>
        <w:rPr>
          <w:bCs/>
          <w:b/>
        </w:rPr>
        <w:t xml:space="preserve">What could not be verified without buying the standards</w:t>
      </w:r>
    </w:p>
    <w:p>
      <w:pPr>
        <w:pStyle w:val="BodyText"/>
      </w:pPr>
      <w:r>
        <w:t xml:space="preserve">These are the [P] and [U] items, gathered so it is clear what to check first:</w:t>
      </w:r>
    </w:p>
    <w:p>
      <w:pPr>
        <w:numPr>
          <w:ilvl w:val="0"/>
          <w:numId w:val="1009"/>
        </w:numPr>
        <w:pStyle w:val="Compact"/>
      </w:pPr>
      <w:r>
        <w:t xml:space="preserve">Every class name and attribute in the topology spine — confirm against the RDFS artefacts</w:t>
      </w:r>
    </w:p>
    <w:p>
      <w:pPr>
        <w:numPr>
          <w:ilvl w:val="0"/>
          <w:numId w:val="1009"/>
        </w:numPr>
        <w:pStyle w:val="Compact"/>
      </w:pPr>
      <w:r>
        <w:rPr>
          <w:rStyle w:val="VerbatimChar"/>
        </w:rPr>
        <w:t xml:space="preserve">Meter</w:t>
      </w:r>
      <w:r>
        <w:t xml:space="preserve"> </w:t>
      </w:r>
      <w:r>
        <w:t xml:space="preserve">specialising</w:t>
      </w:r>
      <w:r>
        <w:t xml:space="preserve"> </w:t>
      </w:r>
      <w:r>
        <w:rPr>
          <w:rStyle w:val="VerbatimChar"/>
        </w:rPr>
        <w:t xml:space="preserve">EndDevice</w:t>
      </w:r>
      <w:r>
        <w:t xml:space="preserve">, and the</w:t>
      </w:r>
      <w:r>
        <w:t xml:space="preserve"> </w:t>
      </w:r>
      <w:r>
        <w:rPr>
          <w:rStyle w:val="VerbatimChar"/>
        </w:rPr>
        <w:t xml:space="preserve">EndDeviceEvent</w:t>
      </w:r>
      <w:r>
        <w:t xml:space="preserve"> </w:t>
      </w:r>
      <w:r>
        <w:t xml:space="preserve">structure</w:t>
      </w:r>
    </w:p>
    <w:p>
      <w:pPr>
        <w:numPr>
          <w:ilvl w:val="0"/>
          <w:numId w:val="1009"/>
        </w:numPr>
        <w:pStyle w:val="Compact"/>
      </w:pPr>
      <w:r>
        <w:t xml:space="preserve">The concatenated multi-field ReadingType identifier format</w:t>
      </w:r>
    </w:p>
    <w:p>
      <w:pPr>
        <w:numPr>
          <w:ilvl w:val="0"/>
          <w:numId w:val="1009"/>
        </w:numPr>
        <w:pStyle w:val="Compact"/>
      </w:pPr>
      <w:r>
        <w:t xml:space="preserve">Whether IEC 61968-9 carries classes beyond those ESPI exposes (it almost certainly does)</w:t>
      </w:r>
    </w:p>
    <w:p>
      <w:pPr>
        <w:numPr>
          <w:ilvl w:val="0"/>
          <w:numId w:val="1009"/>
        </w:numPr>
        <w:pStyle w:val="Compact"/>
      </w:pPr>
      <w:r>
        <w:t xml:space="preserve">The 61968 message payload structure and its ESB assumptions</w:t>
      </w:r>
    </w:p>
    <w:p>
      <w:pPr>
        <w:numPr>
          <w:ilvl w:val="0"/>
          <w:numId w:val="1009"/>
        </w:numPr>
        <w:pStyle w:val="Compact"/>
      </w:pPr>
      <w:r>
        <w:t xml:space="preserve">Current CIM adoption levels among GB DNOs</w:t>
      </w:r>
    </w:p>
    <w:p>
      <w:pPr>
        <w:numPr>
          <w:ilvl w:val="0"/>
          <w:numId w:val="1009"/>
        </w:numPr>
        <w:pStyle w:val="Compact"/>
      </w:pPr>
      <w:r>
        <w:t xml:space="preserve">Whether any GB DNO accepts a CIM-profiled LV interface today</w:t>
      </w:r>
    </w:p>
    <w:p>
      <w:pPr>
        <w:pStyle w:val="FirstParagraph"/>
      </w:pPr>
      <w:r>
        <w:rPr>
          <w:bCs/>
          <w:b/>
        </w:rPr>
        <w:t xml:space="preserve">Cheapest way to close most of these:</w:t>
      </w:r>
      <w:r>
        <w:t xml:space="preserve"> </w:t>
      </w:r>
      <w:r>
        <w:t xml:space="preserve">the SHACL and RDFS artefacts confirm class and attribute names for free. Only the semantics, cardinalities and intent need the paid parts.</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IEC CIM: Implementation Reference</dc:title>
  <dc:creator/>
  <cp:keywords/>
  <dcterms:created xsi:type="dcterms:W3CDTF">2026-09-18T10:25:07Z</dcterms:created>
  <dcterms:modified xsi:type="dcterms:W3CDTF">2026-09-18T10:25:07Z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September 2026</vt:lpwstr>
  </property>
  <property fmtid="{D5CDD505-2E9C-101B-9397-08002B2CF9AE}" pid="3" name="subtitle">
    <vt:lpwstr>Verified working notes for a smart meter data platform</vt:lpwstr>
  </property>
</Properties>
</file>