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72033"/>
          <w:sz w:val="52"/>
        </w:rPr>
        <w:t>Sahakari Finance Application</w:t>
      </w:r>
    </w:p>
    <w:p>
      <w:pPr>
        <w:spacing w:after="360"/>
      </w:pPr>
      <w:r>
        <w:rPr>
          <w:color w:val="617184"/>
          <w:sz w:val="28"/>
        </w:rPr>
        <w:t>Functionality Report and Comparison Checklist</w:t>
      </w:r>
    </w:p>
    <w:tbl>
      <w:tblPr>
        <w:tblStyle w:val="TableGrid"/>
        <w:tblW w:type="auto" w:w="0"/>
        <w:tblLayout w:type="fixed"/>
        <w:tblLook w:firstColumn="1" w:firstRow="1" w:lastColumn="0" w:lastRow="0" w:noHBand="0" w:noVBand="1" w:val="04A0"/>
      </w:tblPr>
      <w:tblGrid>
        <w:gridCol w:w="9360"/>
      </w:tblGrid>
      <w:tr>
        <w:tc>
          <w:tcPr>
            <w:tcW w:type="dxa" w:w="9360"/>
            <w:shd w:fill="EEF8F1"/>
          </w:tcPr>
          <w:p>
            <w:pPr>
              <w:spacing w:after="80"/>
            </w:pPr>
            <w:r>
              <w:rPr>
                <w:b/>
                <w:color w:val="126C43"/>
                <w:sz w:val="22"/>
              </w:rPr>
              <w:t>Purpose</w:t>
            </w:r>
          </w:p>
          <w:p>
            <w:pPr>
              <w:spacing w:after="0"/>
            </w:pPr>
            <w:r>
              <w:rPr>
                <w:color w:val="172033"/>
                <w:sz w:val="20"/>
              </w:rPr>
              <w:t>This document summarizes the functionality currently implemented in the Sahakari cooperative finance application, how key workflows operate, what automation and reporting exist, and which production-grade features still need comparison against a real cooperative organization.</w:t>
            </w:r>
          </w:p>
        </w:tc>
      </w:tr>
    </w:tbl>
    <w:p/>
    <w:tbl>
      <w:tblPr>
        <w:tblStyle w:val="TableGrid"/>
        <w:tblW w:type="auto" w:w="0"/>
        <w:tblLayout w:type="fixed"/>
        <w:tblLook w:firstColumn="1" w:firstRow="1" w:lastColumn="0" w:lastRow="0" w:noHBand="0" w:noVBand="1" w:val="04A0"/>
      </w:tblPr>
      <w:tblGrid>
        <w:gridCol w:w="4680"/>
        <w:gridCol w:w="4680"/>
      </w:tblGrid>
      <w:tr>
        <w:tc>
          <w:tcPr>
            <w:tcW w:type="dxa" w:w="2448"/>
            <w:vAlign w:val="center"/>
            <w:shd w:fill="E8EEF5"/>
          </w:tcPr>
          <w:p>
            <w:pPr>
              <w:spacing w:after="0"/>
            </w:pPr>
            <w:r/>
            <w:r>
              <w:rPr>
                <w:b/>
                <w:color w:val="1F4D78"/>
                <w:sz w:val="19"/>
              </w:rPr>
              <w:t>Field</w:t>
            </w:r>
          </w:p>
        </w:tc>
        <w:tc>
          <w:tcPr>
            <w:tcW w:type="dxa" w:w="6912"/>
            <w:vAlign w:val="center"/>
            <w:shd w:fill="E8EEF5"/>
          </w:tcPr>
          <w:p>
            <w:pPr>
              <w:spacing w:after="0"/>
            </w:pPr>
            <w:r/>
            <w:r>
              <w:rPr>
                <w:b/>
                <w:color w:val="1F4D78"/>
                <w:sz w:val="19"/>
              </w:rPr>
              <w:t>Value</w:t>
            </w:r>
          </w:p>
        </w:tc>
      </w:tr>
      <w:tr>
        <w:tc>
          <w:tcPr>
            <w:tcW w:type="dxa" w:w="4680"/>
            <w:vAlign w:val="center"/>
          </w:tcPr>
          <w:p>
            <w:pPr>
              <w:spacing w:after="0"/>
            </w:pPr>
            <w:r/>
            <w:r>
              <w:rPr>
                <w:b w:val="0"/>
                <w:color w:val="172033"/>
                <w:sz w:val="19"/>
              </w:rPr>
              <w:t>Report date</w:t>
            </w:r>
          </w:p>
        </w:tc>
        <w:tc>
          <w:tcPr>
            <w:tcW w:type="dxa" w:w="4680"/>
            <w:vAlign w:val="center"/>
          </w:tcPr>
          <w:p>
            <w:pPr>
              <w:spacing w:after="0"/>
            </w:pPr>
            <w:r/>
            <w:r>
              <w:rPr>
                <w:b w:val="0"/>
                <w:color w:val="172033"/>
                <w:sz w:val="19"/>
              </w:rPr>
              <w:t>2026-06-06</w:t>
            </w:r>
          </w:p>
        </w:tc>
      </w:tr>
      <w:tr>
        <w:tc>
          <w:tcPr>
            <w:tcW w:type="dxa" w:w="4680"/>
            <w:vAlign w:val="center"/>
          </w:tcPr>
          <w:p>
            <w:pPr>
              <w:spacing w:after="0"/>
            </w:pPr>
            <w:r/>
            <w:r>
              <w:rPr>
                <w:b w:val="0"/>
                <w:color w:val="172033"/>
                <w:sz w:val="19"/>
              </w:rPr>
              <w:t>Application type</w:t>
            </w:r>
          </w:p>
        </w:tc>
        <w:tc>
          <w:tcPr>
            <w:tcW w:type="dxa" w:w="4680"/>
            <w:vAlign w:val="center"/>
          </w:tcPr>
          <w:p>
            <w:pPr>
              <w:spacing w:after="0"/>
            </w:pPr>
            <w:r/>
            <w:r>
              <w:rPr>
                <w:b w:val="0"/>
                <w:color w:val="172033"/>
                <w:sz w:val="19"/>
              </w:rPr>
              <w:t>Local-network cooperative finance / sahakari operations system</w:t>
            </w:r>
          </w:p>
        </w:tc>
      </w:tr>
      <w:tr>
        <w:tc>
          <w:tcPr>
            <w:tcW w:type="dxa" w:w="4680"/>
            <w:vAlign w:val="center"/>
          </w:tcPr>
          <w:p>
            <w:pPr>
              <w:spacing w:after="0"/>
            </w:pPr>
            <w:r/>
            <w:r>
              <w:rPr>
                <w:b w:val="0"/>
                <w:color w:val="172033"/>
                <w:sz w:val="19"/>
              </w:rPr>
              <w:t>Frontend</w:t>
            </w:r>
          </w:p>
        </w:tc>
        <w:tc>
          <w:tcPr>
            <w:tcW w:type="dxa" w:w="4680"/>
            <w:vAlign w:val="center"/>
          </w:tcPr>
          <w:p>
            <w:pPr>
              <w:spacing w:after="0"/>
            </w:pPr>
            <w:r/>
            <w:r>
              <w:rPr>
                <w:b w:val="0"/>
                <w:color w:val="172033"/>
                <w:sz w:val="19"/>
              </w:rPr>
              <w:t>React + Vite desktop operations UI</w:t>
            </w:r>
          </w:p>
        </w:tc>
      </w:tr>
      <w:tr>
        <w:tc>
          <w:tcPr>
            <w:tcW w:type="dxa" w:w="4680"/>
            <w:vAlign w:val="center"/>
          </w:tcPr>
          <w:p>
            <w:pPr>
              <w:spacing w:after="0"/>
            </w:pPr>
            <w:r/>
            <w:r>
              <w:rPr>
                <w:b w:val="0"/>
                <w:color w:val="172033"/>
                <w:sz w:val="19"/>
              </w:rPr>
              <w:t>Backend</w:t>
            </w:r>
          </w:p>
        </w:tc>
        <w:tc>
          <w:tcPr>
            <w:tcW w:type="dxa" w:w="4680"/>
            <w:vAlign w:val="center"/>
          </w:tcPr>
          <w:p>
            <w:pPr>
              <w:spacing w:after="0"/>
            </w:pPr>
            <w:r/>
            <w:r>
              <w:rPr>
                <w:b w:val="0"/>
                <w:color w:val="172033"/>
                <w:sz w:val="19"/>
              </w:rPr>
              <w:t>FastAPI, SQLAlchemy, PostgreSQL-ready models, JWT/RBAC dependencies</w:t>
            </w:r>
          </w:p>
        </w:tc>
      </w:tr>
      <w:tr>
        <w:tc>
          <w:tcPr>
            <w:tcW w:type="dxa" w:w="4680"/>
            <w:vAlign w:val="center"/>
          </w:tcPr>
          <w:p>
            <w:pPr>
              <w:spacing w:after="0"/>
            </w:pPr>
            <w:r/>
            <w:r>
              <w:rPr>
                <w:b w:val="0"/>
                <w:color w:val="172033"/>
                <w:sz w:val="19"/>
              </w:rPr>
              <w:t>Current status</w:t>
            </w:r>
          </w:p>
        </w:tc>
        <w:tc>
          <w:tcPr>
            <w:tcW w:type="dxa" w:w="4680"/>
            <w:vAlign w:val="center"/>
          </w:tcPr>
          <w:p>
            <w:pPr>
              <w:spacing w:after="0"/>
            </w:pPr>
            <w:r/>
            <w:r>
              <w:rPr>
                <w:b w:val="0"/>
                <w:color w:val="172033"/>
                <w:sz w:val="19"/>
              </w:rPr>
              <w:t>Functional foundation with expanded operations UI; not yet complete for live regulated production</w:t>
            </w:r>
          </w:p>
        </w:tc>
      </w:tr>
    </w:tbl>
    <w:p/>
    <w:p>
      <w:r>
        <w:br w:type="page"/>
      </w:r>
    </w:p>
    <w:p>
      <w:pPr>
        <w:pStyle w:val="Heading1"/>
      </w:pPr>
      <w:r>
        <w:rPr>
          <w:color w:val="2E74B5"/>
        </w:rPr>
        <w:t>1. Executive Summary</w:t>
      </w:r>
    </w:p>
    <w:tbl>
      <w:tblPr>
        <w:tblStyle w:val="TableGrid"/>
        <w:tblW w:type="auto" w:w="0"/>
        <w:tblLayout w:type="fixed"/>
        <w:tblLook w:firstColumn="1" w:firstRow="1" w:lastColumn="0" w:lastRow="0" w:noHBand="0" w:noVBand="1" w:val="04A0"/>
      </w:tblPr>
      <w:tblGrid>
        <w:gridCol w:w="9360"/>
      </w:tblGrid>
      <w:tr>
        <w:tc>
          <w:tcPr>
            <w:tcW w:type="dxa" w:w="9360"/>
            <w:shd w:fill="EEF8F1"/>
          </w:tcPr>
          <w:p>
            <w:pPr>
              <w:spacing w:after="80"/>
            </w:pPr>
            <w:r>
              <w:rPr>
                <w:b/>
                <w:color w:val="126C43"/>
                <w:sz w:val="22"/>
              </w:rPr>
              <w:t>Current position</w:t>
            </w:r>
          </w:p>
          <w:p>
            <w:pPr>
              <w:spacing w:after="0"/>
            </w:pPr>
            <w:r>
              <w:rPr>
                <w:color w:val="172033"/>
                <w:sz w:val="20"/>
              </w:rPr>
              <w:t>The app is no longer only a small registration form. It now includes member onboarding, scalable member search, member 360 profile, shares, savings, cash counter, loans, repayments, accounting, rules, automation, reports, approval queues, Excel-ready export, security/compliance screens, and dashboard metrics.</w:t>
            </w:r>
          </w:p>
        </w:tc>
      </w:tr>
    </w:tbl>
    <w:p/>
    <w:p>
      <w:pPr>
        <w:pStyle w:val="ListBullet"/>
        <w:spacing w:after="80"/>
      </w:pPr>
      <w:r>
        <w:rPr>
          <w:color w:val="172033"/>
          <w:sz w:val="21"/>
        </w:rPr>
        <w:t>The system is suitable as a working prototype/foundation for a cooperative finance office.</w:t>
      </w:r>
    </w:p>
    <w:p>
      <w:pPr>
        <w:pStyle w:val="ListBullet"/>
        <w:spacing w:after="80"/>
      </w:pPr>
      <w:r>
        <w:rPr>
          <w:color w:val="172033"/>
          <w:sz w:val="21"/>
        </w:rPr>
        <w:t>The backend already includes financial entities such as members, nominees, shares, savings accounts, loans, installments, payments, accounts, journal entries, ledger entries, fiscal closings, scheduler jobs, calculation results, and audit logs.</w:t>
      </w:r>
    </w:p>
    <w:p>
      <w:pPr>
        <w:pStyle w:val="ListBullet"/>
        <w:spacing w:after="80"/>
      </w:pPr>
      <w:r>
        <w:rPr>
          <w:color w:val="172033"/>
          <w:sz w:val="21"/>
        </w:rPr>
        <w:t>The frontend exposes operational workspaces instead of only a registration form.</w:t>
      </w:r>
    </w:p>
    <w:p>
      <w:pPr>
        <w:pStyle w:val="ListBullet"/>
        <w:spacing w:after="80"/>
      </w:pPr>
      <w:r>
        <w:rPr>
          <w:color w:val="172033"/>
          <w:sz w:val="21"/>
        </w:rPr>
        <w:t>The biggest remaining production gaps are full maker-checker approval, locked-period enforcement, richer product masters, true XLSX import/export, backup/restore UI, branch/cashier session depth, and formal financial statement generation.</w:t>
      </w:r>
    </w:p>
    <w:p>
      <w:pPr>
        <w:pStyle w:val="Heading1"/>
      </w:pPr>
      <w:r>
        <w:rPr>
          <w:color w:val="2E74B5"/>
        </w:rPr>
        <w:t>2. Implemented Functionality Matrix</w:t>
      </w:r>
    </w:p>
    <w:tbl>
      <w:tblPr>
        <w:tblStyle w:val="TableGrid"/>
        <w:tblW w:type="auto" w:w="0"/>
        <w:tblLayout w:type="fixed"/>
        <w:tblLook w:firstColumn="1" w:firstRow="1" w:lastColumn="0" w:lastRow="0" w:noHBand="0" w:noVBand="1" w:val="04A0"/>
      </w:tblPr>
      <w:tblGrid>
        <w:gridCol w:w="3120"/>
        <w:gridCol w:w="3120"/>
        <w:gridCol w:w="3120"/>
      </w:tblGrid>
      <w:tr>
        <w:tc>
          <w:tcPr>
            <w:tcW w:type="dxa" w:w="2088"/>
            <w:vAlign w:val="center"/>
            <w:shd w:fill="E8EEF5"/>
          </w:tcPr>
          <w:p>
            <w:pPr>
              <w:spacing w:after="0"/>
            </w:pPr>
            <w:r/>
            <w:r>
              <w:rPr>
                <w:b/>
                <w:color w:val="1F4D78"/>
                <w:sz w:val="19"/>
              </w:rPr>
              <w:t>Module</w:t>
            </w:r>
          </w:p>
        </w:tc>
        <w:tc>
          <w:tcPr>
            <w:tcW w:type="dxa" w:w="6263"/>
            <w:vAlign w:val="center"/>
            <w:shd w:fill="E8EEF5"/>
          </w:tcPr>
          <w:p>
            <w:pPr>
              <w:spacing w:after="0"/>
            </w:pPr>
            <w:r/>
            <w:r>
              <w:rPr>
                <w:b/>
                <w:color w:val="1F4D78"/>
                <w:sz w:val="19"/>
              </w:rPr>
              <w:t>What it does now</w:t>
            </w:r>
          </w:p>
        </w:tc>
        <w:tc>
          <w:tcPr>
            <w:tcW w:type="dxa" w:w="1440"/>
            <w:vAlign w:val="center"/>
            <w:shd w:fill="E8EEF5"/>
          </w:tcPr>
          <w:p>
            <w:pPr>
              <w:spacing w:after="0"/>
            </w:pPr>
            <w:r/>
            <w:r>
              <w:rPr>
                <w:b/>
                <w:color w:val="1F4D78"/>
                <w:sz w:val="19"/>
              </w:rPr>
              <w:t>Status</w:t>
            </w:r>
          </w:p>
        </w:tc>
      </w:tr>
      <w:tr>
        <w:tc>
          <w:tcPr>
            <w:tcW w:type="dxa" w:w="3120"/>
            <w:vAlign w:val="center"/>
          </w:tcPr>
          <w:p>
            <w:pPr>
              <w:spacing w:after="0"/>
            </w:pPr>
            <w:r/>
            <w:r>
              <w:rPr>
                <w:b w:val="0"/>
                <w:color w:val="172033"/>
                <w:sz w:val="19"/>
              </w:rPr>
              <w:t>Authentication</w:t>
            </w:r>
          </w:p>
        </w:tc>
        <w:tc>
          <w:tcPr>
            <w:tcW w:type="dxa" w:w="3120"/>
            <w:vAlign w:val="center"/>
          </w:tcPr>
          <w:p>
            <w:pPr>
              <w:spacing w:after="0"/>
            </w:pPr>
            <w:r/>
            <w:r>
              <w:rPr>
                <w:b w:val="0"/>
                <w:color w:val="172033"/>
                <w:sz w:val="19"/>
              </w:rPr>
              <w:t>Staff login using email/password and JWT token storage.</w:t>
            </w:r>
          </w:p>
        </w:tc>
        <w:tc>
          <w:tcPr>
            <w:tcW w:type="dxa" w:w="3120"/>
            <w:vAlign w:val="center"/>
          </w:tcPr>
          <w:p>
            <w:pPr>
              <w:spacing w:after="0"/>
            </w:pPr>
            <w:r/>
            <w:r>
              <w:rPr>
                <w:b w:val="0"/>
                <w:color w:val="172033"/>
                <w:sz w:val="19"/>
              </w:rPr>
              <w:t>Implemented</w:t>
            </w:r>
          </w:p>
        </w:tc>
      </w:tr>
      <w:tr>
        <w:tc>
          <w:tcPr>
            <w:tcW w:type="dxa" w:w="3120"/>
            <w:vAlign w:val="center"/>
          </w:tcPr>
          <w:p>
            <w:pPr>
              <w:spacing w:after="0"/>
            </w:pPr>
            <w:r/>
            <w:r>
              <w:rPr>
                <w:b w:val="0"/>
                <w:color w:val="172033"/>
                <w:sz w:val="19"/>
              </w:rPr>
              <w:t>Dashboard</w:t>
            </w:r>
          </w:p>
        </w:tc>
        <w:tc>
          <w:tcPr>
            <w:tcW w:type="dxa" w:w="3120"/>
            <w:vAlign w:val="center"/>
          </w:tcPr>
          <w:p>
            <w:pPr>
              <w:spacing w:after="0"/>
            </w:pPr>
            <w:r/>
            <w:r>
              <w:rPr>
                <w:b w:val="0"/>
                <w:color w:val="172033"/>
                <w:sz w:val="19"/>
              </w:rPr>
              <w:t>Members, savings, loan exposure, risk, cash movement, pending KYC, high-risk cases.</w:t>
            </w:r>
          </w:p>
        </w:tc>
        <w:tc>
          <w:tcPr>
            <w:tcW w:type="dxa" w:w="3120"/>
            <w:vAlign w:val="center"/>
          </w:tcPr>
          <w:p>
            <w:pPr>
              <w:spacing w:after="0"/>
            </w:pPr>
            <w:r/>
            <w:r>
              <w:rPr>
                <w:b w:val="0"/>
                <w:color w:val="172033"/>
                <w:sz w:val="19"/>
              </w:rPr>
              <w:t>Implemented</w:t>
            </w:r>
          </w:p>
        </w:tc>
      </w:tr>
      <w:tr>
        <w:tc>
          <w:tcPr>
            <w:tcW w:type="dxa" w:w="3120"/>
            <w:vAlign w:val="center"/>
          </w:tcPr>
          <w:p>
            <w:pPr>
              <w:spacing w:after="0"/>
            </w:pPr>
            <w:r/>
            <w:r>
              <w:rPr>
                <w:b w:val="0"/>
                <w:color w:val="172033"/>
                <w:sz w:val="19"/>
              </w:rPr>
              <w:t>Member onboarding</w:t>
            </w:r>
          </w:p>
        </w:tc>
        <w:tc>
          <w:tcPr>
            <w:tcW w:type="dxa" w:w="3120"/>
            <w:vAlign w:val="center"/>
          </w:tcPr>
          <w:p>
            <w:pPr>
              <w:spacing w:after="0"/>
            </w:pPr>
            <w:r/>
            <w:r>
              <w:rPr>
                <w:b w:val="0"/>
                <w:color w:val="172033"/>
                <w:sz w:val="19"/>
              </w:rPr>
              <w:t>Detailed person form: KYC, address, documents, family, guardian, nominee, occupation, income, risk flags, media references.</w:t>
            </w:r>
          </w:p>
        </w:tc>
        <w:tc>
          <w:tcPr>
            <w:tcW w:type="dxa" w:w="3120"/>
            <w:vAlign w:val="center"/>
          </w:tcPr>
          <w:p>
            <w:pPr>
              <w:spacing w:after="0"/>
            </w:pPr>
            <w:r/>
            <w:r>
              <w:rPr>
                <w:b w:val="0"/>
                <w:color w:val="172033"/>
                <w:sz w:val="19"/>
              </w:rPr>
              <w:t>Implemented</w:t>
            </w:r>
          </w:p>
        </w:tc>
      </w:tr>
      <w:tr>
        <w:tc>
          <w:tcPr>
            <w:tcW w:type="dxa" w:w="3120"/>
            <w:vAlign w:val="center"/>
          </w:tcPr>
          <w:p>
            <w:pPr>
              <w:spacing w:after="0"/>
            </w:pPr>
            <w:r/>
            <w:r>
              <w:rPr>
                <w:b w:val="0"/>
                <w:color w:val="172033"/>
                <w:sz w:val="19"/>
              </w:rPr>
              <w:t>Member search</w:t>
            </w:r>
          </w:p>
        </w:tc>
        <w:tc>
          <w:tcPr>
            <w:tcW w:type="dxa" w:w="3120"/>
            <w:vAlign w:val="center"/>
          </w:tcPr>
          <w:p>
            <w:pPr>
              <w:spacing w:after="0"/>
            </w:pPr>
            <w:r/>
            <w:r>
              <w:rPr>
                <w:b w:val="0"/>
                <w:color w:val="172033"/>
                <w:sz w:val="19"/>
              </w:rPr>
              <w:t>Server-side search by member number, name, or phone with skip/limit paging and total count.</w:t>
            </w:r>
          </w:p>
        </w:tc>
        <w:tc>
          <w:tcPr>
            <w:tcW w:type="dxa" w:w="3120"/>
            <w:vAlign w:val="center"/>
          </w:tcPr>
          <w:p>
            <w:pPr>
              <w:spacing w:after="0"/>
            </w:pPr>
            <w:r/>
            <w:r>
              <w:rPr>
                <w:b w:val="0"/>
                <w:color w:val="172033"/>
                <w:sz w:val="19"/>
              </w:rPr>
              <w:t>Implemented</w:t>
            </w:r>
          </w:p>
        </w:tc>
      </w:tr>
      <w:tr>
        <w:tc>
          <w:tcPr>
            <w:tcW w:type="dxa" w:w="3120"/>
            <w:vAlign w:val="center"/>
          </w:tcPr>
          <w:p>
            <w:pPr>
              <w:spacing w:after="0"/>
            </w:pPr>
            <w:r/>
            <w:r>
              <w:rPr>
                <w:b w:val="0"/>
                <w:color w:val="172033"/>
                <w:sz w:val="19"/>
              </w:rPr>
              <w:t>Member 360 profile</w:t>
            </w:r>
          </w:p>
        </w:tc>
        <w:tc>
          <w:tcPr>
            <w:tcW w:type="dxa" w:w="3120"/>
            <w:vAlign w:val="center"/>
          </w:tcPr>
          <w:p>
            <w:pPr>
              <w:spacing w:after="0"/>
            </w:pPr>
            <w:r/>
            <w:r>
              <w:rPr>
                <w:b w:val="0"/>
                <w:color w:val="172033"/>
                <w:sz w:val="19"/>
              </w:rPr>
              <w:t>Member data, nominees, shares, share activity, savings accounts, savings ledger, loans, schedules, payments, calculations.</w:t>
            </w:r>
          </w:p>
        </w:tc>
        <w:tc>
          <w:tcPr>
            <w:tcW w:type="dxa" w:w="3120"/>
            <w:vAlign w:val="center"/>
          </w:tcPr>
          <w:p>
            <w:pPr>
              <w:spacing w:after="0"/>
            </w:pPr>
            <w:r/>
            <w:r>
              <w:rPr>
                <w:b w:val="0"/>
                <w:color w:val="172033"/>
                <w:sz w:val="19"/>
              </w:rPr>
              <w:t>Implemented</w:t>
            </w:r>
          </w:p>
        </w:tc>
      </w:tr>
      <w:tr>
        <w:tc>
          <w:tcPr>
            <w:tcW w:type="dxa" w:w="3120"/>
            <w:vAlign w:val="center"/>
          </w:tcPr>
          <w:p>
            <w:pPr>
              <w:spacing w:after="0"/>
            </w:pPr>
            <w:r/>
            <w:r>
              <w:rPr>
                <w:b w:val="0"/>
                <w:color w:val="172033"/>
                <w:sz w:val="19"/>
              </w:rPr>
              <w:t>Share capital</w:t>
            </w:r>
          </w:p>
        </w:tc>
        <w:tc>
          <w:tcPr>
            <w:tcW w:type="dxa" w:w="3120"/>
            <w:vAlign w:val="center"/>
          </w:tcPr>
          <w:p>
            <w:pPr>
              <w:spacing w:after="0"/>
            </w:pPr>
            <w:r/>
            <w:r>
              <w:rPr>
                <w:b w:val="0"/>
                <w:color w:val="172033"/>
                <w:sz w:val="19"/>
              </w:rPr>
              <w:t>Share purchase posting and share register display.</w:t>
            </w:r>
          </w:p>
        </w:tc>
        <w:tc>
          <w:tcPr>
            <w:tcW w:type="dxa" w:w="3120"/>
            <w:vAlign w:val="center"/>
          </w:tcPr>
          <w:p>
            <w:pPr>
              <w:spacing w:after="0"/>
            </w:pPr>
            <w:r/>
            <w:r>
              <w:rPr>
                <w:b w:val="0"/>
                <w:color w:val="172033"/>
                <w:sz w:val="19"/>
              </w:rPr>
              <w:t>Implemented</w:t>
            </w:r>
          </w:p>
        </w:tc>
      </w:tr>
      <w:tr>
        <w:tc>
          <w:tcPr>
            <w:tcW w:type="dxa" w:w="3120"/>
            <w:vAlign w:val="center"/>
          </w:tcPr>
          <w:p>
            <w:pPr>
              <w:spacing w:after="0"/>
            </w:pPr>
            <w:r/>
            <w:r>
              <w:rPr>
                <w:b w:val="0"/>
                <w:color w:val="172033"/>
                <w:sz w:val="19"/>
              </w:rPr>
              <w:t>Savings accounts</w:t>
            </w:r>
          </w:p>
        </w:tc>
        <w:tc>
          <w:tcPr>
            <w:tcW w:type="dxa" w:w="3120"/>
            <w:vAlign w:val="center"/>
          </w:tcPr>
          <w:p>
            <w:pPr>
              <w:spacing w:after="0"/>
            </w:pPr>
            <w:r/>
            <w:r>
              <w:rPr>
                <w:b w:val="0"/>
                <w:color w:val="172033"/>
                <w:sz w:val="19"/>
              </w:rPr>
              <w:t>Open savings account, list active balances, post deposit and withdrawal.</w:t>
            </w:r>
          </w:p>
        </w:tc>
        <w:tc>
          <w:tcPr>
            <w:tcW w:type="dxa" w:w="3120"/>
            <w:vAlign w:val="center"/>
          </w:tcPr>
          <w:p>
            <w:pPr>
              <w:spacing w:after="0"/>
            </w:pPr>
            <w:r/>
            <w:r>
              <w:rPr>
                <w:b w:val="0"/>
                <w:color w:val="172033"/>
                <w:sz w:val="19"/>
              </w:rPr>
              <w:t>Implemented</w:t>
            </w:r>
          </w:p>
        </w:tc>
      </w:tr>
      <w:tr>
        <w:tc>
          <w:tcPr>
            <w:tcW w:type="dxa" w:w="3120"/>
            <w:vAlign w:val="center"/>
          </w:tcPr>
          <w:p>
            <w:pPr>
              <w:spacing w:after="0"/>
            </w:pPr>
            <w:r/>
            <w:r>
              <w:rPr>
                <w:b w:val="0"/>
                <w:color w:val="172033"/>
                <w:sz w:val="19"/>
              </w:rPr>
              <w:t>Cash counter</w:t>
            </w:r>
          </w:p>
        </w:tc>
        <w:tc>
          <w:tcPr>
            <w:tcW w:type="dxa" w:w="3120"/>
            <w:vAlign w:val="center"/>
          </w:tcPr>
          <w:p>
            <w:pPr>
              <w:spacing w:after="0"/>
            </w:pPr>
            <w:r/>
            <w:r>
              <w:rPr>
                <w:b w:val="0"/>
                <w:color w:val="172033"/>
                <w:sz w:val="19"/>
              </w:rPr>
              <w:t>Deposit and withdrawal screens connected to savings transactions and ledger posting.</w:t>
            </w:r>
          </w:p>
        </w:tc>
        <w:tc>
          <w:tcPr>
            <w:tcW w:type="dxa" w:w="3120"/>
            <w:vAlign w:val="center"/>
          </w:tcPr>
          <w:p>
            <w:pPr>
              <w:spacing w:after="0"/>
            </w:pPr>
            <w:r/>
            <w:r>
              <w:rPr>
                <w:b w:val="0"/>
                <w:color w:val="172033"/>
                <w:sz w:val="19"/>
              </w:rPr>
              <w:t>Implemented</w:t>
            </w:r>
          </w:p>
        </w:tc>
      </w:tr>
      <w:tr>
        <w:tc>
          <w:tcPr>
            <w:tcW w:type="dxa" w:w="3120"/>
            <w:vAlign w:val="center"/>
          </w:tcPr>
          <w:p>
            <w:pPr>
              <w:spacing w:after="0"/>
            </w:pPr>
            <w:r/>
            <w:r>
              <w:rPr>
                <w:b w:val="0"/>
                <w:color w:val="172033"/>
                <w:sz w:val="19"/>
              </w:rPr>
              <w:t>Loans</w:t>
            </w:r>
          </w:p>
        </w:tc>
        <w:tc>
          <w:tcPr>
            <w:tcW w:type="dxa" w:w="3120"/>
            <w:vAlign w:val="center"/>
          </w:tcPr>
          <w:p>
            <w:pPr>
              <w:spacing w:after="0"/>
            </w:pPr>
            <w:r/>
            <w:r>
              <w:rPr>
                <w:b w:val="0"/>
                <w:color w:val="172033"/>
                <w:sz w:val="19"/>
              </w:rPr>
              <w:t>Loan disbursement, flat installment schedule generation, loan portfolio, schedule view, installment payment.</w:t>
            </w:r>
          </w:p>
        </w:tc>
        <w:tc>
          <w:tcPr>
            <w:tcW w:type="dxa" w:w="3120"/>
            <w:vAlign w:val="center"/>
          </w:tcPr>
          <w:p>
            <w:pPr>
              <w:spacing w:after="0"/>
            </w:pPr>
            <w:r/>
            <w:r>
              <w:rPr>
                <w:b w:val="0"/>
                <w:color w:val="172033"/>
                <w:sz w:val="19"/>
              </w:rPr>
              <w:t>Implemented</w:t>
            </w:r>
          </w:p>
        </w:tc>
      </w:tr>
      <w:tr>
        <w:tc>
          <w:tcPr>
            <w:tcW w:type="dxa" w:w="3120"/>
            <w:vAlign w:val="center"/>
          </w:tcPr>
          <w:p>
            <w:pPr>
              <w:spacing w:after="0"/>
            </w:pPr>
            <w:r/>
            <w:r>
              <w:rPr>
                <w:b w:val="0"/>
                <w:color w:val="172033"/>
                <w:sz w:val="19"/>
              </w:rPr>
              <w:t>Accounting</w:t>
            </w:r>
          </w:p>
        </w:tc>
        <w:tc>
          <w:tcPr>
            <w:tcW w:type="dxa" w:w="3120"/>
            <w:vAlign w:val="center"/>
          </w:tcPr>
          <w:p>
            <w:pPr>
              <w:spacing w:after="0"/>
            </w:pPr>
            <w:r/>
            <w:r>
              <w:rPr>
                <w:b w:val="0"/>
                <w:color w:val="172033"/>
                <w:sz w:val="19"/>
              </w:rPr>
              <w:t>Chart of accounts and trial balance endpoints/UI.</w:t>
            </w:r>
          </w:p>
        </w:tc>
        <w:tc>
          <w:tcPr>
            <w:tcW w:type="dxa" w:w="3120"/>
            <w:vAlign w:val="center"/>
          </w:tcPr>
          <w:p>
            <w:pPr>
              <w:spacing w:after="0"/>
            </w:pPr>
            <w:r/>
            <w:r>
              <w:rPr>
                <w:b w:val="0"/>
                <w:color w:val="172033"/>
                <w:sz w:val="19"/>
              </w:rPr>
              <w:t>Implemented</w:t>
            </w:r>
          </w:p>
        </w:tc>
      </w:tr>
      <w:tr>
        <w:tc>
          <w:tcPr>
            <w:tcW w:type="dxa" w:w="3120"/>
            <w:vAlign w:val="center"/>
          </w:tcPr>
          <w:p>
            <w:pPr>
              <w:spacing w:after="0"/>
            </w:pPr>
            <w:r/>
            <w:r>
              <w:rPr>
                <w:b w:val="0"/>
                <w:color w:val="172033"/>
                <w:sz w:val="19"/>
              </w:rPr>
              <w:t>Rules engine</w:t>
            </w:r>
          </w:p>
        </w:tc>
        <w:tc>
          <w:tcPr>
            <w:tcW w:type="dxa" w:w="3120"/>
            <w:vAlign w:val="center"/>
          </w:tcPr>
          <w:p>
            <w:pPr>
              <w:spacing w:after="0"/>
            </w:pPr>
            <w:r/>
            <w:r>
              <w:rPr>
                <w:b w:val="0"/>
                <w:color w:val="172033"/>
                <w:sz w:val="19"/>
              </w:rPr>
              <w:t>Interest, penalty, accrual rule CRUD/read views; calculation history.</w:t>
            </w:r>
          </w:p>
        </w:tc>
        <w:tc>
          <w:tcPr>
            <w:tcW w:type="dxa" w:w="3120"/>
            <w:vAlign w:val="center"/>
          </w:tcPr>
          <w:p>
            <w:pPr>
              <w:spacing w:after="0"/>
            </w:pPr>
            <w:r/>
            <w:r>
              <w:rPr>
                <w:b w:val="0"/>
                <w:color w:val="172033"/>
                <w:sz w:val="19"/>
              </w:rPr>
              <w:t>Implemented foundation</w:t>
            </w:r>
          </w:p>
        </w:tc>
      </w:tr>
      <w:tr>
        <w:tc>
          <w:tcPr>
            <w:tcW w:type="dxa" w:w="3120"/>
            <w:vAlign w:val="center"/>
          </w:tcPr>
          <w:p>
            <w:pPr>
              <w:spacing w:after="0"/>
            </w:pPr>
            <w:r/>
            <w:r>
              <w:rPr>
                <w:b w:val="0"/>
                <w:color w:val="172033"/>
                <w:sz w:val="19"/>
              </w:rPr>
              <w:t>Automation</w:t>
            </w:r>
          </w:p>
        </w:tc>
        <w:tc>
          <w:tcPr>
            <w:tcW w:type="dxa" w:w="3120"/>
            <w:vAlign w:val="center"/>
          </w:tcPr>
          <w:p>
            <w:pPr>
              <w:spacing w:after="0"/>
            </w:pPr>
            <w:r/>
            <w:r>
              <w:rPr>
                <w:b w:val="0"/>
                <w:color w:val="172033"/>
                <w:sz w:val="19"/>
              </w:rPr>
              <w:t>Manual automation run, daily interest trigger, overdue marking trigger, scheduler job list, calculation results.</w:t>
            </w:r>
          </w:p>
        </w:tc>
        <w:tc>
          <w:tcPr>
            <w:tcW w:type="dxa" w:w="3120"/>
            <w:vAlign w:val="center"/>
          </w:tcPr>
          <w:p>
            <w:pPr>
              <w:spacing w:after="0"/>
            </w:pPr>
            <w:r/>
            <w:r>
              <w:rPr>
                <w:b w:val="0"/>
                <w:color w:val="172033"/>
                <w:sz w:val="19"/>
              </w:rPr>
              <w:t>Implemented foundation</w:t>
            </w:r>
          </w:p>
        </w:tc>
      </w:tr>
      <w:tr>
        <w:tc>
          <w:tcPr>
            <w:tcW w:type="dxa" w:w="3120"/>
            <w:vAlign w:val="center"/>
          </w:tcPr>
          <w:p>
            <w:pPr>
              <w:spacing w:after="0"/>
            </w:pPr>
            <w:r/>
            <w:r>
              <w:rPr>
                <w:b w:val="0"/>
                <w:color w:val="172033"/>
                <w:sz w:val="19"/>
              </w:rPr>
              <w:t>Reports</w:t>
            </w:r>
          </w:p>
        </w:tc>
        <w:tc>
          <w:tcPr>
            <w:tcW w:type="dxa" w:w="3120"/>
            <w:vAlign w:val="center"/>
          </w:tcPr>
          <w:p>
            <w:pPr>
              <w:spacing w:after="0"/>
            </w:pPr>
            <w:r/>
            <w:r>
              <w:rPr>
                <w:b w:val="0"/>
                <w:color w:val="172033"/>
                <w:sz w:val="19"/>
              </w:rPr>
              <w:t>Portfolio summary, daily operations, approval queue, high-risk queue, overdue queue, trial balance.</w:t>
            </w:r>
          </w:p>
        </w:tc>
        <w:tc>
          <w:tcPr>
            <w:tcW w:type="dxa" w:w="3120"/>
            <w:vAlign w:val="center"/>
          </w:tcPr>
          <w:p>
            <w:pPr>
              <w:spacing w:after="0"/>
            </w:pPr>
            <w:r/>
            <w:r>
              <w:rPr>
                <w:b w:val="0"/>
                <w:color w:val="172033"/>
                <w:sz w:val="19"/>
              </w:rPr>
              <w:t>Implemented foundation</w:t>
            </w:r>
          </w:p>
        </w:tc>
      </w:tr>
      <w:tr>
        <w:tc>
          <w:tcPr>
            <w:tcW w:type="dxa" w:w="3120"/>
            <w:vAlign w:val="center"/>
          </w:tcPr>
          <w:p>
            <w:pPr>
              <w:spacing w:after="0"/>
            </w:pPr>
            <w:r/>
            <w:r>
              <w:rPr>
                <w:b w:val="0"/>
                <w:color w:val="172033"/>
                <w:sz w:val="19"/>
              </w:rPr>
              <w:t>Excel/export</w:t>
            </w:r>
          </w:p>
        </w:tc>
        <w:tc>
          <w:tcPr>
            <w:tcW w:type="dxa" w:w="3120"/>
            <w:vAlign w:val="center"/>
          </w:tcPr>
          <w:p>
            <w:pPr>
              <w:spacing w:after="0"/>
            </w:pPr>
            <w:r/>
            <w:r>
              <w:rPr>
                <w:b w:val="0"/>
                <w:color w:val="172033"/>
                <w:sz w:val="19"/>
              </w:rPr>
              <w:t>CSV member portfolio export, openable in Excel.</w:t>
            </w:r>
          </w:p>
        </w:tc>
        <w:tc>
          <w:tcPr>
            <w:tcW w:type="dxa" w:w="3120"/>
            <w:vAlign w:val="center"/>
          </w:tcPr>
          <w:p>
            <w:pPr>
              <w:spacing w:after="0"/>
            </w:pPr>
            <w:r/>
            <w:r>
              <w:rPr>
                <w:b w:val="0"/>
                <w:color w:val="172033"/>
                <w:sz w:val="19"/>
              </w:rPr>
              <w:t>Implemented basic</w:t>
            </w:r>
          </w:p>
        </w:tc>
      </w:tr>
      <w:tr>
        <w:tc>
          <w:tcPr>
            <w:tcW w:type="dxa" w:w="3120"/>
            <w:vAlign w:val="center"/>
          </w:tcPr>
          <w:p>
            <w:pPr>
              <w:spacing w:after="0"/>
            </w:pPr>
            <w:r/>
            <w:r>
              <w:rPr>
                <w:b w:val="0"/>
                <w:color w:val="172033"/>
                <w:sz w:val="19"/>
              </w:rPr>
              <w:t>Security/compliance</w:t>
            </w:r>
          </w:p>
        </w:tc>
        <w:tc>
          <w:tcPr>
            <w:tcW w:type="dxa" w:w="3120"/>
            <w:vAlign w:val="center"/>
          </w:tcPr>
          <w:p>
            <w:pPr>
              <w:spacing w:after="0"/>
            </w:pPr>
            <w:r/>
            <w:r>
              <w:rPr>
                <w:b w:val="0"/>
                <w:color w:val="172033"/>
                <w:sz w:val="19"/>
              </w:rPr>
              <w:t>RBAC dependencies, audit logging in services, security workspace, risk flags.</w:t>
            </w:r>
          </w:p>
        </w:tc>
        <w:tc>
          <w:tcPr>
            <w:tcW w:type="dxa" w:w="3120"/>
            <w:vAlign w:val="center"/>
          </w:tcPr>
          <w:p>
            <w:pPr>
              <w:spacing w:after="0"/>
            </w:pPr>
            <w:r/>
            <w:r>
              <w:rPr>
                <w:b w:val="0"/>
                <w:color w:val="172033"/>
                <w:sz w:val="19"/>
              </w:rPr>
              <w:t>Implemented foundation</w:t>
            </w:r>
          </w:p>
        </w:tc>
      </w:tr>
      <w:tr>
        <w:tc>
          <w:tcPr>
            <w:tcW w:type="dxa" w:w="3120"/>
            <w:vAlign w:val="center"/>
          </w:tcPr>
          <w:p>
            <w:pPr>
              <w:spacing w:after="0"/>
            </w:pPr>
            <w:r/>
            <w:r>
              <w:rPr>
                <w:b w:val="0"/>
                <w:color w:val="172033"/>
                <w:sz w:val="19"/>
              </w:rPr>
              <w:t>Closings</w:t>
            </w:r>
          </w:p>
        </w:tc>
        <w:tc>
          <w:tcPr>
            <w:tcW w:type="dxa" w:w="3120"/>
            <w:vAlign w:val="center"/>
          </w:tcPr>
          <w:p>
            <w:pPr>
              <w:spacing w:after="0"/>
            </w:pPr>
            <w:r/>
            <w:r>
              <w:rPr>
                <w:b w:val="0"/>
                <w:color w:val="172033"/>
                <w:sz w:val="19"/>
              </w:rPr>
              <w:t>Day/month/year closing models and closing register display.</w:t>
            </w:r>
          </w:p>
        </w:tc>
        <w:tc>
          <w:tcPr>
            <w:tcW w:type="dxa" w:w="3120"/>
            <w:vAlign w:val="center"/>
          </w:tcPr>
          <w:p>
            <w:pPr>
              <w:spacing w:after="0"/>
            </w:pPr>
            <w:r/>
            <w:r>
              <w:rPr>
                <w:b w:val="0"/>
                <w:color w:val="172033"/>
                <w:sz w:val="19"/>
              </w:rPr>
              <w:t>Foundation only</w:t>
            </w:r>
          </w:p>
        </w:tc>
      </w:tr>
    </w:tbl>
    <w:p/>
    <w:p>
      <w:pPr>
        <w:pStyle w:val="Heading1"/>
      </w:pPr>
      <w:r>
        <w:rPr>
          <w:color w:val="2E74B5"/>
        </w:rPr>
        <w:t>3. How Key Workflows Work</w:t>
      </w:r>
    </w:p>
    <w:tbl>
      <w:tblPr>
        <w:tblStyle w:val="TableGrid"/>
        <w:tblW w:type="auto" w:w="0"/>
        <w:tblLayout w:type="fixed"/>
        <w:tblLook w:firstColumn="1" w:firstRow="1" w:lastColumn="0" w:lastRow="0" w:noHBand="0" w:noVBand="1" w:val="04A0"/>
      </w:tblPr>
      <w:tblGrid>
        <w:gridCol w:w="4680"/>
        <w:gridCol w:w="4680"/>
      </w:tblGrid>
      <w:tr>
        <w:tc>
          <w:tcPr>
            <w:tcW w:type="dxa" w:w="2592"/>
            <w:vAlign w:val="center"/>
            <w:shd w:fill="E8EEF5"/>
          </w:tcPr>
          <w:p>
            <w:pPr>
              <w:spacing w:after="0"/>
            </w:pPr>
            <w:r/>
            <w:r>
              <w:rPr>
                <w:b/>
                <w:color w:val="1F4D78"/>
                <w:sz w:val="19"/>
              </w:rPr>
              <w:t>Workflow</w:t>
            </w:r>
          </w:p>
        </w:tc>
        <w:tc>
          <w:tcPr>
            <w:tcW w:type="dxa" w:w="6768"/>
            <w:vAlign w:val="center"/>
            <w:shd w:fill="E8EEF5"/>
          </w:tcPr>
          <w:p>
            <w:pPr>
              <w:spacing w:after="0"/>
            </w:pPr>
            <w:r/>
            <w:r>
              <w:rPr>
                <w:b/>
                <w:color w:val="1F4D78"/>
                <w:sz w:val="19"/>
              </w:rPr>
              <w:t>Operational behavior</w:t>
            </w:r>
          </w:p>
        </w:tc>
      </w:tr>
      <w:tr>
        <w:tc>
          <w:tcPr>
            <w:tcW w:type="dxa" w:w="4680"/>
            <w:vAlign w:val="center"/>
          </w:tcPr>
          <w:p>
            <w:pPr>
              <w:spacing w:after="0"/>
            </w:pPr>
            <w:r/>
            <w:r>
              <w:rPr>
                <w:b w:val="0"/>
                <w:color w:val="172033"/>
                <w:sz w:val="19"/>
              </w:rPr>
              <w:t>Member onboarding</w:t>
            </w:r>
          </w:p>
        </w:tc>
        <w:tc>
          <w:tcPr>
            <w:tcW w:type="dxa" w:w="4680"/>
            <w:vAlign w:val="center"/>
          </w:tcPr>
          <w:p>
            <w:pPr>
              <w:spacing w:after="0"/>
            </w:pPr>
            <w:r/>
            <w:r>
              <w:rPr>
                <w:b w:val="0"/>
                <w:color w:val="172033"/>
                <w:sz w:val="19"/>
              </w:rPr>
              <w:t>Staff enters personal, KYC, document, address, family, nominee, occupation, income and risk information. The backend stores the member, JSON profile sections, nominee records and audit entry.</w:t>
            </w:r>
          </w:p>
        </w:tc>
      </w:tr>
      <w:tr>
        <w:tc>
          <w:tcPr>
            <w:tcW w:type="dxa" w:w="4680"/>
            <w:vAlign w:val="center"/>
          </w:tcPr>
          <w:p>
            <w:pPr>
              <w:spacing w:after="0"/>
            </w:pPr>
            <w:r/>
            <w:r>
              <w:rPr>
                <w:b w:val="0"/>
                <w:color w:val="172033"/>
                <w:sz w:val="19"/>
              </w:rPr>
              <w:t>Finding one member among 10k+</w:t>
            </w:r>
          </w:p>
        </w:tc>
        <w:tc>
          <w:tcPr>
            <w:tcW w:type="dxa" w:w="4680"/>
            <w:vAlign w:val="center"/>
          </w:tcPr>
          <w:p>
            <w:pPr>
              <w:spacing w:after="0"/>
            </w:pPr>
            <w:r/>
            <w:r>
              <w:rPr>
                <w:b w:val="0"/>
                <w:color w:val="172033"/>
                <w:sz w:val="19"/>
              </w:rPr>
              <w:t>Staff searches by member number, name or phone. The backend applies indexed search and returns paged results. Staff clicks Open to load the member 360 profile instead of scrolling thousands of rows.</w:t>
            </w:r>
          </w:p>
        </w:tc>
      </w:tr>
      <w:tr>
        <w:tc>
          <w:tcPr>
            <w:tcW w:type="dxa" w:w="4680"/>
            <w:vAlign w:val="center"/>
          </w:tcPr>
          <w:p>
            <w:pPr>
              <w:spacing w:after="0"/>
            </w:pPr>
            <w:r/>
            <w:r>
              <w:rPr>
                <w:b w:val="0"/>
                <w:color w:val="172033"/>
                <w:sz w:val="19"/>
              </w:rPr>
              <w:t>Member 360 review</w:t>
            </w:r>
          </w:p>
        </w:tc>
        <w:tc>
          <w:tcPr>
            <w:tcW w:type="dxa" w:w="4680"/>
            <w:vAlign w:val="center"/>
          </w:tcPr>
          <w:p>
            <w:pPr>
              <w:spacing w:after="0"/>
            </w:pPr>
            <w:r/>
            <w:r>
              <w:rPr>
                <w:b w:val="0"/>
                <w:color w:val="172033"/>
                <w:sz w:val="19"/>
              </w:rPr>
              <w:t>The profile endpoint gathers the selected member's shares, savings accounts, savings transactions, loans, installments, payments, nominees and calculation results into one operational view.</w:t>
            </w:r>
          </w:p>
        </w:tc>
      </w:tr>
      <w:tr>
        <w:tc>
          <w:tcPr>
            <w:tcW w:type="dxa" w:w="4680"/>
            <w:vAlign w:val="center"/>
          </w:tcPr>
          <w:p>
            <w:pPr>
              <w:spacing w:after="0"/>
            </w:pPr>
            <w:r/>
            <w:r>
              <w:rPr>
                <w:b w:val="0"/>
                <w:color w:val="172033"/>
                <w:sz w:val="19"/>
              </w:rPr>
              <w:t>Savings deposit</w:t>
            </w:r>
          </w:p>
        </w:tc>
        <w:tc>
          <w:tcPr>
            <w:tcW w:type="dxa" w:w="4680"/>
            <w:vAlign w:val="center"/>
          </w:tcPr>
          <w:p>
            <w:pPr>
              <w:spacing w:after="0"/>
            </w:pPr>
            <w:r/>
            <w:r>
              <w:rPr>
                <w:b w:val="0"/>
                <w:color w:val="172033"/>
                <w:sz w:val="19"/>
              </w:rPr>
              <w:t>Staff selects account, enters amount/narration, posts deposit. Backend locks the account, increases balance, creates savings transaction, posts double-entry ledger lines, and writes audit log.</w:t>
            </w:r>
          </w:p>
        </w:tc>
      </w:tr>
      <w:tr>
        <w:tc>
          <w:tcPr>
            <w:tcW w:type="dxa" w:w="4680"/>
            <w:vAlign w:val="center"/>
          </w:tcPr>
          <w:p>
            <w:pPr>
              <w:spacing w:after="0"/>
            </w:pPr>
            <w:r/>
            <w:r>
              <w:rPr>
                <w:b w:val="0"/>
                <w:color w:val="172033"/>
                <w:sz w:val="19"/>
              </w:rPr>
              <w:t>Savings withdrawal</w:t>
            </w:r>
          </w:p>
        </w:tc>
        <w:tc>
          <w:tcPr>
            <w:tcW w:type="dxa" w:w="4680"/>
            <w:vAlign w:val="center"/>
          </w:tcPr>
          <w:p>
            <w:pPr>
              <w:spacing w:after="0"/>
            </w:pPr>
            <w:r/>
            <w:r>
              <w:rPr>
                <w:b w:val="0"/>
                <w:color w:val="172033"/>
                <w:sz w:val="19"/>
              </w:rPr>
              <w:t>Staff selects account, enters amount/narration, posts withdrawal. Backend checks active account and sufficient balance, decreases balance, posts transaction, ledger and audit.</w:t>
            </w:r>
          </w:p>
        </w:tc>
      </w:tr>
      <w:tr>
        <w:tc>
          <w:tcPr>
            <w:tcW w:type="dxa" w:w="4680"/>
            <w:vAlign w:val="center"/>
          </w:tcPr>
          <w:p>
            <w:pPr>
              <w:spacing w:after="0"/>
            </w:pPr>
            <w:r/>
            <w:r>
              <w:rPr>
                <w:b w:val="0"/>
                <w:color w:val="172033"/>
                <w:sz w:val="19"/>
              </w:rPr>
              <w:t>Loan disbursement</w:t>
            </w:r>
          </w:p>
        </w:tc>
        <w:tc>
          <w:tcPr>
            <w:tcW w:type="dxa" w:w="4680"/>
            <w:vAlign w:val="center"/>
          </w:tcPr>
          <w:p>
            <w:pPr>
              <w:spacing w:after="0"/>
            </w:pPr>
            <w:r/>
            <w:r>
              <w:rPr>
                <w:b w:val="0"/>
                <w:color w:val="172033"/>
                <w:sz w:val="19"/>
              </w:rPr>
              <w:t>Staff selects member and loan facts. Backend creates active loan, generates flat monthly installments, posts loan disbursement ledger entry and audit log.</w:t>
            </w:r>
          </w:p>
        </w:tc>
      </w:tr>
      <w:tr>
        <w:tc>
          <w:tcPr>
            <w:tcW w:type="dxa" w:w="4680"/>
            <w:vAlign w:val="center"/>
          </w:tcPr>
          <w:p>
            <w:pPr>
              <w:spacing w:after="0"/>
            </w:pPr>
            <w:r/>
            <w:r>
              <w:rPr>
                <w:b w:val="0"/>
                <w:color w:val="172033"/>
                <w:sz w:val="19"/>
              </w:rPr>
              <w:t>Loan repayment</w:t>
            </w:r>
          </w:p>
        </w:tc>
        <w:tc>
          <w:tcPr>
            <w:tcW w:type="dxa" w:w="4680"/>
            <w:vAlign w:val="center"/>
          </w:tcPr>
          <w:p>
            <w:pPr>
              <w:spacing w:after="0"/>
            </w:pPr>
            <w:r/>
            <w:r>
              <w:rPr>
                <w:b w:val="0"/>
                <w:color w:val="172033"/>
                <w:sz w:val="19"/>
              </w:rPr>
              <w:t>Staff opens loan schedule and pays an installment. Backend marks installment paid, reduces outstanding principal, posts principal and interest ledger entries, and audits the payment.</w:t>
            </w:r>
          </w:p>
        </w:tc>
      </w:tr>
      <w:tr>
        <w:tc>
          <w:tcPr>
            <w:tcW w:type="dxa" w:w="4680"/>
            <w:vAlign w:val="center"/>
          </w:tcPr>
          <w:p>
            <w:pPr>
              <w:spacing w:after="0"/>
            </w:pPr>
            <w:r/>
            <w:r>
              <w:rPr>
                <w:b w:val="0"/>
                <w:color w:val="172033"/>
                <w:sz w:val="19"/>
              </w:rPr>
              <w:t>Automation run</w:t>
            </w:r>
          </w:p>
        </w:tc>
        <w:tc>
          <w:tcPr>
            <w:tcW w:type="dxa" w:w="4680"/>
            <w:vAlign w:val="center"/>
          </w:tcPr>
          <w:p>
            <w:pPr>
              <w:spacing w:after="0"/>
            </w:pPr>
            <w:r/>
            <w:r>
              <w:rPr>
                <w:b w:val="0"/>
                <w:color w:val="172033"/>
                <w:sz w:val="19"/>
              </w:rPr>
              <w:t>Admin/manager runs automation for a date. Backend calculates savings interest and overdue penalties through the rules engine, updates live records, stores calculation results and returns posting summary.</w:t>
            </w:r>
          </w:p>
        </w:tc>
      </w:tr>
      <w:tr>
        <w:tc>
          <w:tcPr>
            <w:tcW w:type="dxa" w:w="4680"/>
            <w:vAlign w:val="center"/>
          </w:tcPr>
          <w:p>
            <w:pPr>
              <w:spacing w:after="0"/>
            </w:pPr>
            <w:r/>
            <w:r>
              <w:rPr>
                <w:b w:val="0"/>
                <w:color w:val="172033"/>
                <w:sz w:val="19"/>
              </w:rPr>
              <w:t>Reports/export</w:t>
            </w:r>
          </w:p>
        </w:tc>
        <w:tc>
          <w:tcPr>
            <w:tcW w:type="dxa" w:w="4680"/>
            <w:vAlign w:val="center"/>
          </w:tcPr>
          <w:p>
            <w:pPr>
              <w:spacing w:after="0"/>
            </w:pPr>
            <w:r/>
            <w:r>
              <w:rPr>
                <w:b w:val="0"/>
                <w:color w:val="172033"/>
                <w:sz w:val="19"/>
              </w:rPr>
              <w:t>Reports screen loads portfolio totals, queues and trial balance. CSV export downloads member portfolio data for Excel review.</w:t>
            </w:r>
          </w:p>
        </w:tc>
      </w:tr>
    </w:tbl>
    <w:p/>
    <w:p>
      <w:pPr>
        <w:pStyle w:val="Heading1"/>
      </w:pPr>
      <w:r>
        <w:rPr>
          <w:color w:val="2E74B5"/>
        </w:rPr>
        <w:t>4. Current Screens and API Coverage</w:t>
      </w:r>
    </w:p>
    <w:p>
      <w:pPr>
        <w:pStyle w:val="Heading2"/>
      </w:pPr>
      <w:r>
        <w:rPr>
          <w:color w:val="2E74B5"/>
        </w:rPr>
        <w:t>Frontend Workspaces</w:t>
      </w:r>
    </w:p>
    <w:tbl>
      <w:tblPr>
        <w:tblStyle w:val="TableGrid"/>
        <w:tblW w:type="auto" w:w="0"/>
        <w:tblLayout w:type="fixed"/>
        <w:tblLook w:firstColumn="1" w:firstRow="1" w:lastColumn="0" w:lastRow="0" w:noHBand="0" w:noVBand="1" w:val="04A0"/>
      </w:tblPr>
      <w:tblGrid>
        <w:gridCol w:w="4680"/>
        <w:gridCol w:w="4680"/>
      </w:tblGrid>
      <w:tr>
        <w:tc>
          <w:tcPr>
            <w:tcW w:type="dxa" w:w="2304"/>
            <w:vAlign w:val="center"/>
            <w:shd w:fill="E8EEF5"/>
          </w:tcPr>
          <w:p>
            <w:pPr>
              <w:spacing w:after="0"/>
            </w:pPr>
            <w:r/>
            <w:r>
              <w:rPr>
                <w:b/>
                <w:color w:val="1F4D78"/>
                <w:sz w:val="19"/>
              </w:rPr>
              <w:t>Screen</w:t>
            </w:r>
          </w:p>
        </w:tc>
        <w:tc>
          <w:tcPr>
            <w:tcW w:type="dxa" w:w="7056"/>
            <w:vAlign w:val="center"/>
            <w:shd w:fill="E8EEF5"/>
          </w:tcPr>
          <w:p>
            <w:pPr>
              <w:spacing w:after="0"/>
            </w:pPr>
            <w:r/>
            <w:r>
              <w:rPr>
                <w:b/>
                <w:color w:val="1F4D78"/>
                <w:sz w:val="19"/>
              </w:rPr>
              <w:t>Main capability</w:t>
            </w:r>
          </w:p>
        </w:tc>
      </w:tr>
      <w:tr>
        <w:tc>
          <w:tcPr>
            <w:tcW w:type="dxa" w:w="4680"/>
            <w:vAlign w:val="center"/>
          </w:tcPr>
          <w:p>
            <w:pPr>
              <w:spacing w:after="0"/>
            </w:pPr>
            <w:r/>
            <w:r>
              <w:rPr>
                <w:b w:val="0"/>
                <w:color w:val="172033"/>
                <w:sz w:val="19"/>
              </w:rPr>
              <w:t>Dashboard</w:t>
            </w:r>
          </w:p>
        </w:tc>
        <w:tc>
          <w:tcPr>
            <w:tcW w:type="dxa" w:w="4680"/>
            <w:vAlign w:val="center"/>
          </w:tcPr>
          <w:p>
            <w:pPr>
              <w:spacing w:after="0"/>
            </w:pPr>
            <w:r/>
            <w:r>
              <w:rPr>
                <w:b w:val="0"/>
                <w:color w:val="172033"/>
                <w:sz w:val="19"/>
              </w:rPr>
              <w:t>Daily snapshot, quick actions, recent members, health signals.</w:t>
            </w:r>
          </w:p>
        </w:tc>
      </w:tr>
      <w:tr>
        <w:tc>
          <w:tcPr>
            <w:tcW w:type="dxa" w:w="4680"/>
            <w:vAlign w:val="center"/>
          </w:tcPr>
          <w:p>
            <w:pPr>
              <w:spacing w:after="0"/>
            </w:pPr>
            <w:r/>
            <w:r>
              <w:rPr>
                <w:b w:val="0"/>
                <w:color w:val="172033"/>
                <w:sz w:val="19"/>
              </w:rPr>
              <w:t>Members</w:t>
            </w:r>
          </w:p>
        </w:tc>
        <w:tc>
          <w:tcPr>
            <w:tcW w:type="dxa" w:w="4680"/>
            <w:vAlign w:val="center"/>
          </w:tcPr>
          <w:p>
            <w:pPr>
              <w:spacing w:after="0"/>
            </w:pPr>
            <w:r/>
            <w:r>
              <w:rPr>
                <w:b w:val="0"/>
                <w:color w:val="172033"/>
                <w:sz w:val="19"/>
              </w:rPr>
              <w:t>Onboarding, search/paging, member 360 profile.</w:t>
            </w:r>
          </w:p>
        </w:tc>
      </w:tr>
      <w:tr>
        <w:tc>
          <w:tcPr>
            <w:tcW w:type="dxa" w:w="4680"/>
            <w:vAlign w:val="center"/>
          </w:tcPr>
          <w:p>
            <w:pPr>
              <w:spacing w:after="0"/>
            </w:pPr>
            <w:r/>
            <w:r>
              <w:rPr>
                <w:b w:val="0"/>
                <w:color w:val="172033"/>
                <w:sz w:val="19"/>
              </w:rPr>
              <w:t>Shares</w:t>
            </w:r>
          </w:p>
        </w:tc>
        <w:tc>
          <w:tcPr>
            <w:tcW w:type="dxa" w:w="4680"/>
            <w:vAlign w:val="center"/>
          </w:tcPr>
          <w:p>
            <w:pPr>
              <w:spacing w:after="0"/>
            </w:pPr>
            <w:r/>
            <w:r>
              <w:rPr>
                <w:b w:val="0"/>
                <w:color w:val="172033"/>
                <w:sz w:val="19"/>
              </w:rPr>
              <w:t>Share purchase and share register.</w:t>
            </w:r>
          </w:p>
        </w:tc>
      </w:tr>
      <w:tr>
        <w:tc>
          <w:tcPr>
            <w:tcW w:type="dxa" w:w="4680"/>
            <w:vAlign w:val="center"/>
          </w:tcPr>
          <w:p>
            <w:pPr>
              <w:spacing w:after="0"/>
            </w:pPr>
            <w:r/>
            <w:r>
              <w:rPr>
                <w:b w:val="0"/>
                <w:color w:val="172033"/>
                <w:sz w:val="19"/>
              </w:rPr>
              <w:t>Savings</w:t>
            </w:r>
          </w:p>
        </w:tc>
        <w:tc>
          <w:tcPr>
            <w:tcW w:type="dxa" w:w="4680"/>
            <w:vAlign w:val="center"/>
          </w:tcPr>
          <w:p>
            <w:pPr>
              <w:spacing w:after="0"/>
            </w:pPr>
            <w:r/>
            <w:r>
              <w:rPr>
                <w:b w:val="0"/>
                <w:color w:val="172033"/>
                <w:sz w:val="19"/>
              </w:rPr>
              <w:t>Open account and view account balances.</w:t>
            </w:r>
          </w:p>
        </w:tc>
      </w:tr>
      <w:tr>
        <w:tc>
          <w:tcPr>
            <w:tcW w:type="dxa" w:w="4680"/>
            <w:vAlign w:val="center"/>
          </w:tcPr>
          <w:p>
            <w:pPr>
              <w:spacing w:after="0"/>
            </w:pPr>
            <w:r/>
            <w:r>
              <w:rPr>
                <w:b w:val="0"/>
                <w:color w:val="172033"/>
                <w:sz w:val="19"/>
              </w:rPr>
              <w:t>Cash Counter</w:t>
            </w:r>
          </w:p>
        </w:tc>
        <w:tc>
          <w:tcPr>
            <w:tcW w:type="dxa" w:w="4680"/>
            <w:vAlign w:val="center"/>
          </w:tcPr>
          <w:p>
            <w:pPr>
              <w:spacing w:after="0"/>
            </w:pPr>
            <w:r/>
            <w:r>
              <w:rPr>
                <w:b w:val="0"/>
                <w:color w:val="172033"/>
                <w:sz w:val="19"/>
              </w:rPr>
              <w:t>Post deposit/withdrawal and monitor counter balances.</w:t>
            </w:r>
          </w:p>
        </w:tc>
      </w:tr>
      <w:tr>
        <w:tc>
          <w:tcPr>
            <w:tcW w:type="dxa" w:w="4680"/>
            <w:vAlign w:val="center"/>
          </w:tcPr>
          <w:p>
            <w:pPr>
              <w:spacing w:after="0"/>
            </w:pPr>
            <w:r/>
            <w:r>
              <w:rPr>
                <w:b w:val="0"/>
                <w:color w:val="172033"/>
                <w:sz w:val="19"/>
              </w:rPr>
              <w:t>Loans</w:t>
            </w:r>
          </w:p>
        </w:tc>
        <w:tc>
          <w:tcPr>
            <w:tcW w:type="dxa" w:w="4680"/>
            <w:vAlign w:val="center"/>
          </w:tcPr>
          <w:p>
            <w:pPr>
              <w:spacing w:after="0"/>
            </w:pPr>
            <w:r/>
            <w:r>
              <w:rPr>
                <w:b w:val="0"/>
                <w:color w:val="172033"/>
                <w:sz w:val="19"/>
              </w:rPr>
              <w:t>Disburse loan, view portfolio, open schedule, post repayment.</w:t>
            </w:r>
          </w:p>
        </w:tc>
      </w:tr>
      <w:tr>
        <w:tc>
          <w:tcPr>
            <w:tcW w:type="dxa" w:w="4680"/>
            <w:vAlign w:val="center"/>
          </w:tcPr>
          <w:p>
            <w:pPr>
              <w:spacing w:after="0"/>
            </w:pPr>
            <w:r/>
            <w:r>
              <w:rPr>
                <w:b w:val="0"/>
                <w:color w:val="172033"/>
                <w:sz w:val="19"/>
              </w:rPr>
              <w:t>Reports</w:t>
            </w:r>
          </w:p>
        </w:tc>
        <w:tc>
          <w:tcPr>
            <w:tcW w:type="dxa" w:w="4680"/>
            <w:vAlign w:val="center"/>
          </w:tcPr>
          <w:p>
            <w:pPr>
              <w:spacing w:after="0"/>
            </w:pPr>
            <w:r/>
            <w:r>
              <w:rPr>
                <w:b w:val="0"/>
                <w:color w:val="172033"/>
                <w:sz w:val="19"/>
              </w:rPr>
              <w:t>Portfolio, approval queue, high-risk cases, overdue queue, trial balance, CSV export.</w:t>
            </w:r>
          </w:p>
        </w:tc>
      </w:tr>
      <w:tr>
        <w:tc>
          <w:tcPr>
            <w:tcW w:type="dxa" w:w="4680"/>
            <w:vAlign w:val="center"/>
          </w:tcPr>
          <w:p>
            <w:pPr>
              <w:spacing w:after="0"/>
            </w:pPr>
            <w:r/>
            <w:r>
              <w:rPr>
                <w:b w:val="0"/>
                <w:color w:val="172033"/>
                <w:sz w:val="19"/>
              </w:rPr>
              <w:t>Automation</w:t>
            </w:r>
          </w:p>
        </w:tc>
        <w:tc>
          <w:tcPr>
            <w:tcW w:type="dxa" w:w="4680"/>
            <w:vAlign w:val="center"/>
          </w:tcPr>
          <w:p>
            <w:pPr>
              <w:spacing w:after="0"/>
            </w:pPr>
            <w:r/>
            <w:r>
              <w:rPr>
                <w:b w:val="0"/>
                <w:color w:val="172033"/>
                <w:sz w:val="19"/>
              </w:rPr>
              <w:t>Daily/monthly/fiscal automation buttons, scheduler jobs, closing register, calculations.</w:t>
            </w:r>
          </w:p>
        </w:tc>
      </w:tr>
      <w:tr>
        <w:tc>
          <w:tcPr>
            <w:tcW w:type="dxa" w:w="4680"/>
            <w:vAlign w:val="center"/>
          </w:tcPr>
          <w:p>
            <w:pPr>
              <w:spacing w:after="0"/>
            </w:pPr>
            <w:r/>
            <w:r>
              <w:rPr>
                <w:b w:val="0"/>
                <w:color w:val="172033"/>
                <w:sz w:val="19"/>
              </w:rPr>
              <w:t>Rules</w:t>
            </w:r>
          </w:p>
        </w:tc>
        <w:tc>
          <w:tcPr>
            <w:tcW w:type="dxa" w:w="4680"/>
            <w:vAlign w:val="center"/>
          </w:tcPr>
          <w:p>
            <w:pPr>
              <w:spacing w:after="0"/>
            </w:pPr>
            <w:r/>
            <w:r>
              <w:rPr>
                <w:b w:val="0"/>
                <w:color w:val="172033"/>
                <w:sz w:val="19"/>
              </w:rPr>
              <w:t>Create interest rule and inspect interest/penalty/accrual rules.</w:t>
            </w:r>
          </w:p>
        </w:tc>
      </w:tr>
      <w:tr>
        <w:tc>
          <w:tcPr>
            <w:tcW w:type="dxa" w:w="4680"/>
            <w:vAlign w:val="center"/>
          </w:tcPr>
          <w:p>
            <w:pPr>
              <w:spacing w:after="0"/>
            </w:pPr>
            <w:r/>
            <w:r>
              <w:rPr>
                <w:b w:val="0"/>
                <w:color w:val="172033"/>
                <w:sz w:val="19"/>
              </w:rPr>
              <w:t>Accounting</w:t>
            </w:r>
          </w:p>
        </w:tc>
        <w:tc>
          <w:tcPr>
            <w:tcW w:type="dxa" w:w="4680"/>
            <w:vAlign w:val="center"/>
          </w:tcPr>
          <w:p>
            <w:pPr>
              <w:spacing w:after="0"/>
            </w:pPr>
            <w:r/>
            <w:r>
              <w:rPr>
                <w:b w:val="0"/>
                <w:color w:val="172033"/>
                <w:sz w:val="19"/>
              </w:rPr>
              <w:t>Chart of accounts and trial balance.</w:t>
            </w:r>
          </w:p>
        </w:tc>
      </w:tr>
      <w:tr>
        <w:tc>
          <w:tcPr>
            <w:tcW w:type="dxa" w:w="4680"/>
            <w:vAlign w:val="center"/>
          </w:tcPr>
          <w:p>
            <w:pPr>
              <w:spacing w:after="0"/>
            </w:pPr>
            <w:r/>
            <w:r>
              <w:rPr>
                <w:b w:val="0"/>
                <w:color w:val="172033"/>
                <w:sz w:val="19"/>
              </w:rPr>
              <w:t>Security</w:t>
            </w:r>
          </w:p>
        </w:tc>
        <w:tc>
          <w:tcPr>
            <w:tcW w:type="dxa" w:w="4680"/>
            <w:vAlign w:val="center"/>
          </w:tcPr>
          <w:p>
            <w:pPr>
              <w:spacing w:after="0"/>
            </w:pPr>
            <w:r/>
            <w:r>
              <w:rPr>
                <w:b w:val="0"/>
                <w:color w:val="172033"/>
                <w:sz w:val="19"/>
              </w:rPr>
              <w:t>Compliance controls, RBAC/audit/export/backup guidance.</w:t>
            </w:r>
          </w:p>
        </w:tc>
      </w:tr>
    </w:tbl>
    <w:p/>
    <w:p>
      <w:pPr>
        <w:pStyle w:val="Heading2"/>
      </w:pPr>
      <w:r>
        <w:rPr>
          <w:color w:val="2E74B5"/>
        </w:rPr>
        <w:t>Backend API Groups</w:t>
      </w:r>
    </w:p>
    <w:p>
      <w:pPr>
        <w:pStyle w:val="ListBullet"/>
        <w:spacing w:after="80"/>
      </w:pPr>
      <w:r>
        <w:rPr>
          <w:color w:val="172033"/>
          <w:sz w:val="21"/>
        </w:rPr>
        <w:t>/auth: login</w:t>
      </w:r>
    </w:p>
    <w:p>
      <w:pPr>
        <w:pStyle w:val="ListBullet"/>
        <w:spacing w:after="80"/>
      </w:pPr>
      <w:r>
        <w:rPr>
          <w:color w:val="172033"/>
          <w:sz w:val="21"/>
        </w:rPr>
        <w:t>/dashboard: operational metrics</w:t>
      </w:r>
    </w:p>
    <w:p>
      <w:pPr>
        <w:pStyle w:val="ListBullet"/>
        <w:spacing w:after="80"/>
      </w:pPr>
      <w:r>
        <w:rPr>
          <w:color w:val="172033"/>
          <w:sz w:val="21"/>
        </w:rPr>
        <w:t>/branches: branch list/create</w:t>
      </w:r>
    </w:p>
    <w:p>
      <w:pPr>
        <w:pStyle w:val="ListBullet"/>
        <w:spacing w:after="80"/>
      </w:pPr>
      <w:r>
        <w:rPr>
          <w:color w:val="172033"/>
          <w:sz w:val="21"/>
        </w:rPr>
        <w:t>/members: list, count, profile, create, update, nominees</w:t>
      </w:r>
    </w:p>
    <w:p>
      <w:pPr>
        <w:pStyle w:val="ListBullet"/>
        <w:spacing w:after="80"/>
      </w:pPr>
      <w:r>
        <w:rPr>
          <w:color w:val="172033"/>
          <w:sz w:val="21"/>
        </w:rPr>
        <w:t>/shares: list and purchase</w:t>
      </w:r>
    </w:p>
    <w:p>
      <w:pPr>
        <w:pStyle w:val="ListBullet"/>
        <w:spacing w:after="80"/>
      </w:pPr>
      <w:r>
        <w:rPr>
          <w:color w:val="172033"/>
          <w:sz w:val="21"/>
        </w:rPr>
        <w:t>/savings: accounts, deposit, withdrawal</w:t>
      </w:r>
    </w:p>
    <w:p>
      <w:pPr>
        <w:pStyle w:val="ListBullet"/>
        <w:spacing w:after="80"/>
      </w:pPr>
      <w:r>
        <w:rPr>
          <w:color w:val="172033"/>
          <w:sz w:val="21"/>
        </w:rPr>
        <w:t>/loans: list, create, installments, payments</w:t>
      </w:r>
    </w:p>
    <w:p>
      <w:pPr>
        <w:pStyle w:val="ListBullet"/>
        <w:spacing w:after="80"/>
      </w:pPr>
      <w:r>
        <w:rPr>
          <w:color w:val="172033"/>
          <w:sz w:val="21"/>
        </w:rPr>
        <w:t>/accounting: chart of accounts, trial balance</w:t>
      </w:r>
    </w:p>
    <w:p>
      <w:pPr>
        <w:pStyle w:val="ListBullet"/>
        <w:spacing w:after="80"/>
      </w:pPr>
      <w:r>
        <w:rPr>
          <w:color w:val="172033"/>
          <w:sz w:val="21"/>
        </w:rPr>
        <w:t>/reports: portfolio summary, daily operations, approval queue, CSV export</w:t>
      </w:r>
    </w:p>
    <w:p>
      <w:pPr>
        <w:pStyle w:val="ListBullet"/>
        <w:spacing w:after="80"/>
      </w:pPr>
      <w:r>
        <w:rPr>
          <w:color w:val="172033"/>
          <w:sz w:val="21"/>
        </w:rPr>
        <w:t>/automation: manual run and async triggers</w:t>
      </w:r>
    </w:p>
    <w:p>
      <w:pPr>
        <w:pStyle w:val="ListBullet"/>
        <w:spacing w:after="80"/>
      </w:pPr>
      <w:r>
        <w:rPr>
          <w:color w:val="172033"/>
          <w:sz w:val="21"/>
        </w:rPr>
        <w:t>/rules: interest, penalty, accrual, scheduler jobs, calculation results</w:t>
      </w:r>
    </w:p>
    <w:p>
      <w:pPr>
        <w:pStyle w:val="Heading1"/>
      </w:pPr>
      <w:r>
        <w:rPr>
          <w:color w:val="2E74B5"/>
        </w:rPr>
        <w:t>5. Calculations, Ledgers and Automation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2088"/>
            <w:vAlign w:val="center"/>
            <w:shd w:fill="E8EEF5"/>
          </w:tcPr>
          <w:p>
            <w:pPr>
              <w:spacing w:after="0"/>
            </w:pPr>
            <w:r/>
            <w:r>
              <w:rPr>
                <w:b/>
                <w:color w:val="1F4D78"/>
                <w:sz w:val="19"/>
              </w:rPr>
              <w:t>Area</w:t>
            </w:r>
          </w:p>
        </w:tc>
        <w:tc>
          <w:tcPr>
            <w:tcW w:type="dxa" w:w="4680"/>
            <w:vAlign w:val="center"/>
            <w:shd w:fill="E8EEF5"/>
          </w:tcPr>
          <w:p>
            <w:pPr>
              <w:spacing w:after="0"/>
            </w:pPr>
            <w:r/>
            <w:r>
              <w:rPr>
                <w:b/>
                <w:color w:val="1F4D78"/>
                <w:sz w:val="19"/>
              </w:rPr>
              <w:t>Current behavior</w:t>
            </w:r>
          </w:p>
        </w:tc>
        <w:tc>
          <w:tcPr>
            <w:tcW w:type="dxa" w:w="2592"/>
            <w:vAlign w:val="center"/>
            <w:shd w:fill="E8EEF5"/>
          </w:tcPr>
          <w:p>
            <w:pPr>
              <w:spacing w:after="0"/>
            </w:pPr>
            <w:r/>
            <w:r>
              <w:rPr>
                <w:b/>
                <w:color w:val="1F4D78"/>
                <w:sz w:val="19"/>
              </w:rPr>
              <w:t>Notes</w:t>
            </w:r>
          </w:p>
        </w:tc>
      </w:tr>
      <w:tr>
        <w:tc>
          <w:tcPr>
            <w:tcW w:type="dxa" w:w="3120"/>
            <w:vAlign w:val="center"/>
          </w:tcPr>
          <w:p>
            <w:pPr>
              <w:spacing w:after="0"/>
            </w:pPr>
            <w:r/>
            <w:r>
              <w:rPr>
                <w:b w:val="0"/>
                <w:color w:val="172033"/>
                <w:sz w:val="19"/>
              </w:rPr>
              <w:t>Savings interest</w:t>
            </w:r>
          </w:p>
        </w:tc>
        <w:tc>
          <w:tcPr>
            <w:tcW w:type="dxa" w:w="3120"/>
            <w:vAlign w:val="center"/>
          </w:tcPr>
          <w:p>
            <w:pPr>
              <w:spacing w:after="0"/>
            </w:pPr>
            <w:r/>
            <w:r>
              <w:rPr>
                <w:b w:val="0"/>
                <w:color w:val="172033"/>
                <w:sz w:val="19"/>
              </w:rPr>
              <w:t>Rules engine checks active interest rule by savings product/account type; falls back to account interest rate.</w:t>
            </w:r>
          </w:p>
        </w:tc>
        <w:tc>
          <w:tcPr>
            <w:tcW w:type="dxa" w:w="3120"/>
            <w:vAlign w:val="center"/>
          </w:tcPr>
          <w:p>
            <w:pPr>
              <w:spacing w:after="0"/>
            </w:pPr>
            <w:r/>
            <w:r>
              <w:rPr>
                <w:b w:val="0"/>
                <w:color w:val="172033"/>
                <w:sz w:val="19"/>
              </w:rPr>
              <w:t>Foundation implemented; product-level configuration should be expanded.</w:t>
            </w:r>
          </w:p>
        </w:tc>
      </w:tr>
      <w:tr>
        <w:tc>
          <w:tcPr>
            <w:tcW w:type="dxa" w:w="3120"/>
            <w:vAlign w:val="center"/>
          </w:tcPr>
          <w:p>
            <w:pPr>
              <w:spacing w:after="0"/>
            </w:pPr>
            <w:r/>
            <w:r>
              <w:rPr>
                <w:b w:val="0"/>
                <w:color w:val="172033"/>
                <w:sz w:val="19"/>
              </w:rPr>
              <w:t>Penalty</w:t>
            </w:r>
          </w:p>
        </w:tc>
        <w:tc>
          <w:tcPr>
            <w:tcW w:type="dxa" w:w="3120"/>
            <w:vAlign w:val="center"/>
          </w:tcPr>
          <w:p>
            <w:pPr>
              <w:spacing w:after="0"/>
            </w:pPr>
            <w:r/>
            <w:r>
              <w:rPr>
                <w:b w:val="0"/>
                <w:color w:val="172033"/>
                <w:sz w:val="19"/>
              </w:rPr>
              <w:t>Rules engine calculates overdue installment penalty from configured rule or fallback rate.</w:t>
            </w:r>
          </w:p>
        </w:tc>
        <w:tc>
          <w:tcPr>
            <w:tcW w:type="dxa" w:w="3120"/>
            <w:vAlign w:val="center"/>
          </w:tcPr>
          <w:p>
            <w:pPr>
              <w:spacing w:after="0"/>
            </w:pPr>
            <w:r/>
            <w:r>
              <w:rPr>
                <w:b w:val="0"/>
                <w:color w:val="172033"/>
                <w:sz w:val="19"/>
              </w:rPr>
              <w:t>Supports fixed/percentage/compound concepts in rule schema.</w:t>
            </w:r>
          </w:p>
        </w:tc>
      </w:tr>
      <w:tr>
        <w:tc>
          <w:tcPr>
            <w:tcW w:type="dxa" w:w="3120"/>
            <w:vAlign w:val="center"/>
          </w:tcPr>
          <w:p>
            <w:pPr>
              <w:spacing w:after="0"/>
            </w:pPr>
            <w:r/>
            <w:r>
              <w:rPr>
                <w:b w:val="0"/>
                <w:color w:val="172033"/>
                <w:sz w:val="19"/>
              </w:rPr>
              <w:t>Loan schedule</w:t>
            </w:r>
          </w:p>
        </w:tc>
        <w:tc>
          <w:tcPr>
            <w:tcW w:type="dxa" w:w="3120"/>
            <w:vAlign w:val="center"/>
          </w:tcPr>
          <w:p>
            <w:pPr>
              <w:spacing w:after="0"/>
            </w:pPr>
            <w:r/>
            <w:r>
              <w:rPr>
                <w:b w:val="0"/>
                <w:color w:val="172033"/>
                <w:sz w:val="19"/>
              </w:rPr>
              <w:t>Flat monthly principal plus monthly interest schedule generated at disbursement.</w:t>
            </w:r>
          </w:p>
        </w:tc>
        <w:tc>
          <w:tcPr>
            <w:tcW w:type="dxa" w:w="3120"/>
            <w:vAlign w:val="center"/>
          </w:tcPr>
          <w:p>
            <w:pPr>
              <w:spacing w:after="0"/>
            </w:pPr>
            <w:r/>
            <w:r>
              <w:rPr>
                <w:b w:val="0"/>
                <w:color w:val="172033"/>
                <w:sz w:val="19"/>
              </w:rPr>
              <w:t>EMI/reducing/diminishing variants are not yet fully implemented.</w:t>
            </w:r>
          </w:p>
        </w:tc>
      </w:tr>
      <w:tr>
        <w:tc>
          <w:tcPr>
            <w:tcW w:type="dxa" w:w="3120"/>
            <w:vAlign w:val="center"/>
          </w:tcPr>
          <w:p>
            <w:pPr>
              <w:spacing w:after="0"/>
            </w:pPr>
            <w:r/>
            <w:r>
              <w:rPr>
                <w:b w:val="0"/>
                <w:color w:val="172033"/>
                <w:sz w:val="19"/>
              </w:rPr>
              <w:t>Double-entry ledger</w:t>
            </w:r>
          </w:p>
        </w:tc>
        <w:tc>
          <w:tcPr>
            <w:tcW w:type="dxa" w:w="3120"/>
            <w:vAlign w:val="center"/>
          </w:tcPr>
          <w:p>
            <w:pPr>
              <w:spacing w:after="0"/>
            </w:pPr>
            <w:r/>
            <w:r>
              <w:rPr>
                <w:b w:val="0"/>
                <w:color w:val="172033"/>
                <w:sz w:val="19"/>
              </w:rPr>
              <w:t>Savings, shares, loan disbursement and repayment services post journal/ledger entries.</w:t>
            </w:r>
          </w:p>
        </w:tc>
        <w:tc>
          <w:tcPr>
            <w:tcW w:type="dxa" w:w="3120"/>
            <w:vAlign w:val="center"/>
          </w:tcPr>
          <w:p>
            <w:pPr>
              <w:spacing w:after="0"/>
            </w:pPr>
            <w:r/>
            <w:r>
              <w:rPr>
                <w:b w:val="0"/>
                <w:color w:val="172033"/>
                <w:sz w:val="19"/>
              </w:rPr>
              <w:t>Needs stricter balancing audits and approval before live use.</w:t>
            </w:r>
          </w:p>
        </w:tc>
      </w:tr>
      <w:tr>
        <w:tc>
          <w:tcPr>
            <w:tcW w:type="dxa" w:w="3120"/>
            <w:vAlign w:val="center"/>
          </w:tcPr>
          <w:p>
            <w:pPr>
              <w:spacing w:after="0"/>
            </w:pPr>
            <w:r/>
            <w:r>
              <w:rPr>
                <w:b w:val="0"/>
                <w:color w:val="172033"/>
                <w:sz w:val="19"/>
              </w:rPr>
              <w:t>Calculation records</w:t>
            </w:r>
          </w:p>
        </w:tc>
        <w:tc>
          <w:tcPr>
            <w:tcW w:type="dxa" w:w="3120"/>
            <w:vAlign w:val="center"/>
          </w:tcPr>
          <w:p>
            <w:pPr>
              <w:spacing w:after="0"/>
            </w:pPr>
            <w:r/>
            <w:r>
              <w:rPr>
                <w:b w:val="0"/>
                <w:color w:val="172033"/>
                <w:sz w:val="19"/>
              </w:rPr>
              <w:t>Automation stores calculation_results for traceability.</w:t>
            </w:r>
          </w:p>
        </w:tc>
        <w:tc>
          <w:tcPr>
            <w:tcW w:type="dxa" w:w="3120"/>
            <w:vAlign w:val="center"/>
          </w:tcPr>
          <w:p>
            <w:pPr>
              <w:spacing w:after="0"/>
            </w:pPr>
            <w:r/>
            <w:r>
              <w:rPr>
                <w:b w:val="0"/>
                <w:color w:val="172033"/>
                <w:sz w:val="19"/>
              </w:rPr>
              <w:t>Good foundation for explainable historical calculations.</w:t>
            </w:r>
          </w:p>
        </w:tc>
      </w:tr>
      <w:tr>
        <w:tc>
          <w:tcPr>
            <w:tcW w:type="dxa" w:w="3120"/>
            <w:vAlign w:val="center"/>
          </w:tcPr>
          <w:p>
            <w:pPr>
              <w:spacing w:after="0"/>
            </w:pPr>
            <w:r/>
            <w:r>
              <w:rPr>
                <w:b w:val="0"/>
                <w:color w:val="172033"/>
                <w:sz w:val="19"/>
              </w:rPr>
              <w:t>Closings</w:t>
            </w:r>
          </w:p>
        </w:tc>
        <w:tc>
          <w:tcPr>
            <w:tcW w:type="dxa" w:w="3120"/>
            <w:vAlign w:val="center"/>
          </w:tcPr>
          <w:p>
            <w:pPr>
              <w:spacing w:after="0"/>
            </w:pPr>
            <w:r/>
            <w:r>
              <w:rPr>
                <w:b w:val="0"/>
                <w:color w:val="172033"/>
                <w:sz w:val="19"/>
              </w:rPr>
              <w:t>Models exist for day, month and year closings; UI displays closing register.</w:t>
            </w:r>
          </w:p>
        </w:tc>
        <w:tc>
          <w:tcPr>
            <w:tcW w:type="dxa" w:w="3120"/>
            <w:vAlign w:val="center"/>
          </w:tcPr>
          <w:p>
            <w:pPr>
              <w:spacing w:after="0"/>
            </w:pPr>
            <w:r/>
            <w:r>
              <w:rPr>
                <w:b w:val="0"/>
                <w:color w:val="172033"/>
                <w:sz w:val="19"/>
              </w:rPr>
              <w:t>Actual close/lock workflow needs more implementation.</w:t>
            </w:r>
          </w:p>
        </w:tc>
      </w:tr>
    </w:tbl>
    <w:p/>
    <w:p>
      <w:pPr>
        <w:pStyle w:val="Heading1"/>
      </w:pPr>
      <w:r>
        <w:rPr>
          <w:color w:val="2E74B5"/>
        </w:rPr>
        <w:t>6. Excel and Reporting</w:t>
      </w:r>
    </w:p>
    <w:tbl>
      <w:tblPr>
        <w:tblStyle w:val="TableGrid"/>
        <w:tblW w:type="auto" w:w="0"/>
        <w:tblLayout w:type="fixed"/>
        <w:tblLook w:firstColumn="1" w:firstRow="1" w:lastColumn="0" w:lastRow="0" w:noHBand="0" w:noVBand="1" w:val="04A0"/>
      </w:tblPr>
      <w:tblGrid>
        <w:gridCol w:w="9360"/>
      </w:tblGrid>
      <w:tr>
        <w:tc>
          <w:tcPr>
            <w:tcW w:type="dxa" w:w="9360"/>
            <w:shd w:fill="F2F4F7"/>
          </w:tcPr>
          <w:p>
            <w:pPr>
              <w:spacing w:after="80"/>
            </w:pPr>
            <w:r>
              <w:rPr>
                <w:b/>
                <w:color w:val="126C43"/>
                <w:sz w:val="22"/>
              </w:rPr>
              <w:t>Excel recommendation</w:t>
            </w:r>
          </w:p>
          <w:p>
            <w:pPr>
              <w:spacing w:after="0"/>
            </w:pPr>
            <w:r>
              <w:rPr>
                <w:color w:val="172033"/>
                <w:sz w:val="20"/>
              </w:rPr>
              <w:t>Excel should be used for exports, imports, migration, audit sharing and offline review. It should not be used as the primary database for live cooperative finance records.</w:t>
            </w:r>
          </w:p>
        </w:tc>
      </w:tr>
    </w:tbl>
    <w:p/>
    <w:p>
      <w:pPr>
        <w:pStyle w:val="ListBullet"/>
        <w:spacing w:after="80"/>
      </w:pPr>
      <w:r>
        <w:rPr>
          <w:color w:val="172033"/>
          <w:sz w:val="21"/>
        </w:rPr>
        <w:t>Available now: CSV member portfolio export at /api/v1/reports/portfolio-export.csv.</w:t>
      </w:r>
    </w:p>
    <w:p>
      <w:pPr>
        <w:pStyle w:val="ListBullet"/>
        <w:spacing w:after="80"/>
      </w:pPr>
      <w:r>
        <w:rPr>
          <w:color w:val="172033"/>
          <w:sz w:val="21"/>
        </w:rPr>
        <w:t>CSV can be opened in Microsoft Excel and used for comparison or audit review.</w:t>
      </w:r>
    </w:p>
    <w:p>
      <w:pPr>
        <w:pStyle w:val="ListBullet"/>
        <w:spacing w:after="80"/>
      </w:pPr>
      <w:r>
        <w:rPr>
          <w:color w:val="172033"/>
          <w:sz w:val="21"/>
        </w:rPr>
        <w:t>Recommended next step: true .xlsx exports with multiple sheets for members, savings, loans, shares, trial balance and daily cash.</w:t>
      </w:r>
    </w:p>
    <w:p>
      <w:pPr>
        <w:pStyle w:val="ListBullet"/>
        <w:spacing w:after="80"/>
      </w:pPr>
      <w:r>
        <w:rPr>
          <w:color w:val="172033"/>
          <w:sz w:val="21"/>
        </w:rPr>
        <w:t>Recommended next step: bulk import with validation preview for opening balances and member migration.</w:t>
      </w:r>
    </w:p>
    <w:p>
      <w:pPr>
        <w:pStyle w:val="Heading1"/>
      </w:pPr>
      <w:r>
        <w:rPr>
          <w:color w:val="2E74B5"/>
        </w:rPr>
        <w:t>7. Production Gap Checklist</w:t>
      </w:r>
    </w:p>
    <w:tbl>
      <w:tblPr>
        <w:tblStyle w:val="TableGrid"/>
        <w:tblW w:type="auto" w:w="0"/>
        <w:tblLayout w:type="fixed"/>
        <w:tblLook w:firstColumn="1" w:firstRow="1" w:lastColumn="0" w:lastRow="0" w:noHBand="0" w:noVBand="1" w:val="04A0"/>
      </w:tblPr>
      <w:tblGrid>
        <w:gridCol w:w="3120"/>
        <w:gridCol w:w="3120"/>
        <w:gridCol w:w="3120"/>
      </w:tblGrid>
      <w:tr>
        <w:tc>
          <w:tcPr>
            <w:tcW w:type="dxa" w:w="2376"/>
            <w:vAlign w:val="center"/>
            <w:shd w:fill="E8EEF5"/>
          </w:tcPr>
          <w:p>
            <w:pPr>
              <w:spacing w:after="0"/>
            </w:pPr>
            <w:r/>
            <w:r>
              <w:rPr>
                <w:b/>
                <w:color w:val="1F4D78"/>
                <w:sz w:val="19"/>
              </w:rPr>
              <w:t>Feature</w:t>
            </w:r>
          </w:p>
        </w:tc>
        <w:tc>
          <w:tcPr>
            <w:tcW w:type="dxa" w:w="5903"/>
            <w:vAlign w:val="center"/>
            <w:shd w:fill="E8EEF5"/>
          </w:tcPr>
          <w:p>
            <w:pPr>
              <w:spacing w:after="0"/>
            </w:pPr>
            <w:r/>
            <w:r>
              <w:rPr>
                <w:b/>
                <w:color w:val="1F4D78"/>
                <w:sz w:val="19"/>
              </w:rPr>
              <w:t>Expected in real production</w:t>
            </w:r>
          </w:p>
        </w:tc>
        <w:tc>
          <w:tcPr>
            <w:tcW w:type="dxa" w:w="1080"/>
            <w:vAlign w:val="center"/>
            <w:shd w:fill="E8EEF5"/>
          </w:tcPr>
          <w:p>
            <w:pPr>
              <w:spacing w:after="0"/>
            </w:pPr>
            <w:r/>
            <w:r>
              <w:rPr>
                <w:b/>
                <w:color w:val="1F4D78"/>
                <w:sz w:val="19"/>
              </w:rPr>
              <w:t>Current</w:t>
            </w:r>
          </w:p>
        </w:tc>
      </w:tr>
      <w:tr>
        <w:tc>
          <w:tcPr>
            <w:tcW w:type="dxa" w:w="3120"/>
            <w:vAlign w:val="center"/>
          </w:tcPr>
          <w:p>
            <w:pPr>
              <w:spacing w:after="0"/>
            </w:pPr>
            <w:r/>
            <w:r>
              <w:rPr>
                <w:b w:val="0"/>
                <w:color w:val="172033"/>
                <w:sz w:val="19"/>
              </w:rPr>
              <w:t>Maker-checker approval</w:t>
            </w:r>
          </w:p>
        </w:tc>
        <w:tc>
          <w:tcPr>
            <w:tcW w:type="dxa" w:w="3120"/>
            <w:vAlign w:val="center"/>
          </w:tcPr>
          <w:p>
            <w:pPr>
              <w:spacing w:after="0"/>
            </w:pPr>
            <w:r/>
            <w:r>
              <w:rPr>
                <w:b w:val="0"/>
                <w:color w:val="172033"/>
                <w:sz w:val="19"/>
              </w:rPr>
              <w:t>Formal approval screens for KYC, loan, withdrawal, adjustment, reversal, closing.</w:t>
            </w:r>
          </w:p>
        </w:tc>
        <w:tc>
          <w:tcPr>
            <w:tcW w:type="dxa" w:w="3120"/>
            <w:vAlign w:val="center"/>
          </w:tcPr>
          <w:p>
            <w:pPr>
              <w:spacing w:after="0"/>
            </w:pPr>
            <w:r/>
            <w:r>
              <w:rPr>
                <w:b w:val="0"/>
                <w:color w:val="172033"/>
                <w:sz w:val="19"/>
              </w:rPr>
              <w:t>Missing</w:t>
            </w:r>
          </w:p>
        </w:tc>
      </w:tr>
      <w:tr>
        <w:tc>
          <w:tcPr>
            <w:tcW w:type="dxa" w:w="3120"/>
            <w:vAlign w:val="center"/>
          </w:tcPr>
          <w:p>
            <w:pPr>
              <w:spacing w:after="0"/>
            </w:pPr>
            <w:r/>
            <w:r>
              <w:rPr>
                <w:b w:val="0"/>
                <w:color w:val="172033"/>
                <w:sz w:val="19"/>
              </w:rPr>
              <w:t>Locked-period enforcement</w:t>
            </w:r>
          </w:p>
        </w:tc>
        <w:tc>
          <w:tcPr>
            <w:tcW w:type="dxa" w:w="3120"/>
            <w:vAlign w:val="center"/>
          </w:tcPr>
          <w:p>
            <w:pPr>
              <w:spacing w:after="0"/>
            </w:pPr>
            <w:r/>
            <w:r>
              <w:rPr>
                <w:b w:val="0"/>
                <w:color w:val="172033"/>
                <w:sz w:val="19"/>
              </w:rPr>
              <w:t>Reject edits/postings after day/month/year close unless reversal workflow is used.</w:t>
            </w:r>
          </w:p>
        </w:tc>
        <w:tc>
          <w:tcPr>
            <w:tcW w:type="dxa" w:w="3120"/>
            <w:vAlign w:val="center"/>
          </w:tcPr>
          <w:p>
            <w:pPr>
              <w:spacing w:after="0"/>
            </w:pPr>
            <w:r/>
            <w:r>
              <w:rPr>
                <w:b w:val="0"/>
                <w:color w:val="172033"/>
                <w:sz w:val="19"/>
              </w:rPr>
              <w:t>Mostly missing</w:t>
            </w:r>
          </w:p>
        </w:tc>
      </w:tr>
      <w:tr>
        <w:tc>
          <w:tcPr>
            <w:tcW w:type="dxa" w:w="3120"/>
            <w:vAlign w:val="center"/>
          </w:tcPr>
          <w:p>
            <w:pPr>
              <w:spacing w:after="0"/>
            </w:pPr>
            <w:r/>
            <w:r>
              <w:rPr>
                <w:b w:val="0"/>
                <w:color w:val="172033"/>
                <w:sz w:val="19"/>
              </w:rPr>
              <w:t>Product masters</w:t>
            </w:r>
          </w:p>
        </w:tc>
        <w:tc>
          <w:tcPr>
            <w:tcW w:type="dxa" w:w="3120"/>
            <w:vAlign w:val="center"/>
          </w:tcPr>
          <w:p>
            <w:pPr>
              <w:spacing w:after="0"/>
            </w:pPr>
            <w:r/>
            <w:r>
              <w:rPr>
                <w:b w:val="0"/>
                <w:color w:val="172033"/>
                <w:sz w:val="19"/>
              </w:rPr>
              <w:t>Savings products, FD products, loan products, share products, fee products.</w:t>
            </w:r>
          </w:p>
        </w:tc>
        <w:tc>
          <w:tcPr>
            <w:tcW w:type="dxa" w:w="3120"/>
            <w:vAlign w:val="center"/>
          </w:tcPr>
          <w:p>
            <w:pPr>
              <w:spacing w:after="0"/>
            </w:pPr>
            <w:r/>
            <w:r>
              <w:rPr>
                <w:b w:val="0"/>
                <w:color w:val="172033"/>
                <w:sz w:val="19"/>
              </w:rPr>
              <w:t>Missing</w:t>
            </w:r>
          </w:p>
        </w:tc>
      </w:tr>
      <w:tr>
        <w:tc>
          <w:tcPr>
            <w:tcW w:type="dxa" w:w="3120"/>
            <w:vAlign w:val="center"/>
          </w:tcPr>
          <w:p>
            <w:pPr>
              <w:spacing w:after="0"/>
            </w:pPr>
            <w:r/>
            <w:r>
              <w:rPr>
                <w:b w:val="0"/>
                <w:color w:val="172033"/>
                <w:sz w:val="19"/>
              </w:rPr>
              <w:t>Advanced loan engine</w:t>
            </w:r>
          </w:p>
        </w:tc>
        <w:tc>
          <w:tcPr>
            <w:tcW w:type="dxa" w:w="3120"/>
            <w:vAlign w:val="center"/>
          </w:tcPr>
          <w:p>
            <w:pPr>
              <w:spacing w:after="0"/>
            </w:pPr>
            <w:r/>
            <w:r>
              <w:rPr>
                <w:b w:val="0"/>
                <w:color w:val="172033"/>
                <w:sz w:val="19"/>
              </w:rPr>
              <w:t>EMI, reducing balance, diminishing, partial payment, reschedule, collateral, guarantors.</w:t>
            </w:r>
          </w:p>
        </w:tc>
        <w:tc>
          <w:tcPr>
            <w:tcW w:type="dxa" w:w="3120"/>
            <w:vAlign w:val="center"/>
          </w:tcPr>
          <w:p>
            <w:pPr>
              <w:spacing w:after="0"/>
            </w:pPr>
            <w:r/>
            <w:r>
              <w:rPr>
                <w:b w:val="0"/>
                <w:color w:val="172033"/>
                <w:sz w:val="19"/>
              </w:rPr>
              <w:t>Partial</w:t>
            </w:r>
          </w:p>
        </w:tc>
      </w:tr>
      <w:tr>
        <w:tc>
          <w:tcPr>
            <w:tcW w:type="dxa" w:w="3120"/>
            <w:vAlign w:val="center"/>
          </w:tcPr>
          <w:p>
            <w:pPr>
              <w:spacing w:after="0"/>
            </w:pPr>
            <w:r/>
            <w:r>
              <w:rPr>
                <w:b w:val="0"/>
                <w:color w:val="172033"/>
                <w:sz w:val="19"/>
              </w:rPr>
              <w:t>Cashier session</w:t>
            </w:r>
          </w:p>
        </w:tc>
        <w:tc>
          <w:tcPr>
            <w:tcW w:type="dxa" w:w="3120"/>
            <w:vAlign w:val="center"/>
          </w:tcPr>
          <w:p>
            <w:pPr>
              <w:spacing w:after="0"/>
            </w:pPr>
            <w:r/>
            <w:r>
              <w:rPr>
                <w:b w:val="0"/>
                <w:color w:val="172033"/>
                <w:sz w:val="19"/>
              </w:rPr>
              <w:t>Opening cash, denomination count, handover, vault transfer, shortage/excess handling.</w:t>
            </w:r>
          </w:p>
        </w:tc>
        <w:tc>
          <w:tcPr>
            <w:tcW w:type="dxa" w:w="3120"/>
            <w:vAlign w:val="center"/>
          </w:tcPr>
          <w:p>
            <w:pPr>
              <w:spacing w:after="0"/>
            </w:pPr>
            <w:r/>
            <w:r>
              <w:rPr>
                <w:b w:val="0"/>
                <w:color w:val="172033"/>
                <w:sz w:val="19"/>
              </w:rPr>
              <w:t>Partial</w:t>
            </w:r>
          </w:p>
        </w:tc>
      </w:tr>
      <w:tr>
        <w:tc>
          <w:tcPr>
            <w:tcW w:type="dxa" w:w="3120"/>
            <w:vAlign w:val="center"/>
          </w:tcPr>
          <w:p>
            <w:pPr>
              <w:spacing w:after="0"/>
            </w:pPr>
            <w:r/>
            <w:r>
              <w:rPr>
                <w:b w:val="0"/>
                <w:color w:val="172033"/>
                <w:sz w:val="19"/>
              </w:rPr>
              <w:t>Backup/restore UI</w:t>
            </w:r>
          </w:p>
        </w:tc>
        <w:tc>
          <w:tcPr>
            <w:tcW w:type="dxa" w:w="3120"/>
            <w:vAlign w:val="center"/>
          </w:tcPr>
          <w:p>
            <w:pPr>
              <w:spacing w:after="0"/>
            </w:pPr>
            <w:r/>
            <w:r>
              <w:rPr>
                <w:b w:val="0"/>
                <w:color w:val="172033"/>
                <w:sz w:val="19"/>
              </w:rPr>
              <w:t>Encrypted backups, restore validation, backup schedule and status dashboard.</w:t>
            </w:r>
          </w:p>
        </w:tc>
        <w:tc>
          <w:tcPr>
            <w:tcW w:type="dxa" w:w="3120"/>
            <w:vAlign w:val="center"/>
          </w:tcPr>
          <w:p>
            <w:pPr>
              <w:spacing w:after="0"/>
            </w:pPr>
            <w:r/>
            <w:r>
              <w:rPr>
                <w:b w:val="0"/>
                <w:color w:val="172033"/>
                <w:sz w:val="19"/>
              </w:rPr>
              <w:t>Missing</w:t>
            </w:r>
          </w:p>
        </w:tc>
      </w:tr>
      <w:tr>
        <w:tc>
          <w:tcPr>
            <w:tcW w:type="dxa" w:w="3120"/>
            <w:vAlign w:val="center"/>
          </w:tcPr>
          <w:p>
            <w:pPr>
              <w:spacing w:after="0"/>
            </w:pPr>
            <w:r/>
            <w:r>
              <w:rPr>
                <w:b w:val="0"/>
                <w:color w:val="172033"/>
                <w:sz w:val="19"/>
              </w:rPr>
              <w:t>True XLSX reports</w:t>
            </w:r>
          </w:p>
        </w:tc>
        <w:tc>
          <w:tcPr>
            <w:tcW w:type="dxa" w:w="3120"/>
            <w:vAlign w:val="center"/>
          </w:tcPr>
          <w:p>
            <w:pPr>
              <w:spacing w:after="0"/>
            </w:pPr>
            <w:r/>
            <w:r>
              <w:rPr>
                <w:b w:val="0"/>
                <w:color w:val="172033"/>
                <w:sz w:val="19"/>
              </w:rPr>
              <w:t>Formatted multi-sheet Excel export and import validation.</w:t>
            </w:r>
          </w:p>
        </w:tc>
        <w:tc>
          <w:tcPr>
            <w:tcW w:type="dxa" w:w="3120"/>
            <w:vAlign w:val="center"/>
          </w:tcPr>
          <w:p>
            <w:pPr>
              <w:spacing w:after="0"/>
            </w:pPr>
            <w:r/>
            <w:r>
              <w:rPr>
                <w:b w:val="0"/>
                <w:color w:val="172033"/>
                <w:sz w:val="19"/>
              </w:rPr>
              <w:t>Basic CSV only</w:t>
            </w:r>
          </w:p>
        </w:tc>
      </w:tr>
      <w:tr>
        <w:tc>
          <w:tcPr>
            <w:tcW w:type="dxa" w:w="3120"/>
            <w:vAlign w:val="center"/>
          </w:tcPr>
          <w:p>
            <w:pPr>
              <w:spacing w:after="0"/>
            </w:pPr>
            <w:r/>
            <w:r>
              <w:rPr>
                <w:b w:val="0"/>
                <w:color w:val="172033"/>
                <w:sz w:val="19"/>
              </w:rPr>
              <w:t>Financial statements</w:t>
            </w:r>
          </w:p>
        </w:tc>
        <w:tc>
          <w:tcPr>
            <w:tcW w:type="dxa" w:w="3120"/>
            <w:vAlign w:val="center"/>
          </w:tcPr>
          <w:p>
            <w:pPr>
              <w:spacing w:after="0"/>
            </w:pPr>
            <w:r/>
            <w:r>
              <w:rPr>
                <w:b w:val="0"/>
                <w:color w:val="172033"/>
                <w:sz w:val="19"/>
              </w:rPr>
              <w:t>Balance sheet, profit/loss, ledger statement, cash book, member statement, regulatory reports.</w:t>
            </w:r>
          </w:p>
        </w:tc>
        <w:tc>
          <w:tcPr>
            <w:tcW w:type="dxa" w:w="3120"/>
            <w:vAlign w:val="center"/>
          </w:tcPr>
          <w:p>
            <w:pPr>
              <w:spacing w:after="0"/>
            </w:pPr>
            <w:r/>
            <w:r>
              <w:rPr>
                <w:b w:val="0"/>
                <w:color w:val="172033"/>
                <w:sz w:val="19"/>
              </w:rPr>
              <w:t>Partial</w:t>
            </w:r>
          </w:p>
        </w:tc>
      </w:tr>
      <w:tr>
        <w:tc>
          <w:tcPr>
            <w:tcW w:type="dxa" w:w="3120"/>
            <w:vAlign w:val="center"/>
          </w:tcPr>
          <w:p>
            <w:pPr>
              <w:spacing w:after="0"/>
            </w:pPr>
            <w:r/>
            <w:r>
              <w:rPr>
                <w:b w:val="0"/>
                <w:color w:val="172033"/>
                <w:sz w:val="19"/>
              </w:rPr>
              <w:t>Notifications</w:t>
            </w:r>
          </w:p>
        </w:tc>
        <w:tc>
          <w:tcPr>
            <w:tcW w:type="dxa" w:w="3120"/>
            <w:vAlign w:val="center"/>
          </w:tcPr>
          <w:p>
            <w:pPr>
              <w:spacing w:after="0"/>
            </w:pPr>
            <w:r/>
            <w:r>
              <w:rPr>
                <w:b w:val="0"/>
                <w:color w:val="172033"/>
                <w:sz w:val="19"/>
              </w:rPr>
              <w:t>SMS/email/reminder outbox for due loans, overdue, maturity, KYC expiry.</w:t>
            </w:r>
          </w:p>
        </w:tc>
        <w:tc>
          <w:tcPr>
            <w:tcW w:type="dxa" w:w="3120"/>
            <w:vAlign w:val="center"/>
          </w:tcPr>
          <w:p>
            <w:pPr>
              <w:spacing w:after="0"/>
            </w:pPr>
            <w:r/>
            <w:r>
              <w:rPr>
                <w:b w:val="0"/>
                <w:color w:val="172033"/>
                <w:sz w:val="19"/>
              </w:rPr>
              <w:t>Missing</w:t>
            </w:r>
          </w:p>
        </w:tc>
      </w:tr>
      <w:tr>
        <w:tc>
          <w:tcPr>
            <w:tcW w:type="dxa" w:w="3120"/>
            <w:vAlign w:val="center"/>
          </w:tcPr>
          <w:p>
            <w:pPr>
              <w:spacing w:after="0"/>
            </w:pPr>
            <w:r/>
            <w:r>
              <w:rPr>
                <w:b w:val="0"/>
                <w:color w:val="172033"/>
                <w:sz w:val="19"/>
              </w:rPr>
              <w:t>Session/rate limit</w:t>
            </w:r>
          </w:p>
        </w:tc>
        <w:tc>
          <w:tcPr>
            <w:tcW w:type="dxa" w:w="3120"/>
            <w:vAlign w:val="center"/>
          </w:tcPr>
          <w:p>
            <w:pPr>
              <w:spacing w:after="0"/>
            </w:pPr>
            <w:r/>
            <w:r>
              <w:rPr>
                <w:b w:val="0"/>
                <w:color w:val="172033"/>
                <w:sz w:val="19"/>
              </w:rPr>
              <w:t>Refresh tokens, session tracking, login rate limiting.</w:t>
            </w:r>
          </w:p>
        </w:tc>
        <w:tc>
          <w:tcPr>
            <w:tcW w:type="dxa" w:w="3120"/>
            <w:vAlign w:val="center"/>
          </w:tcPr>
          <w:p>
            <w:pPr>
              <w:spacing w:after="0"/>
            </w:pPr>
            <w:r/>
            <w:r>
              <w:rPr>
                <w:b w:val="0"/>
                <w:color w:val="172033"/>
                <w:sz w:val="19"/>
              </w:rPr>
              <w:t>Partial</w:t>
            </w:r>
          </w:p>
        </w:tc>
      </w:tr>
      <w:tr>
        <w:tc>
          <w:tcPr>
            <w:tcW w:type="dxa" w:w="3120"/>
            <w:vAlign w:val="center"/>
          </w:tcPr>
          <w:p>
            <w:pPr>
              <w:spacing w:after="0"/>
            </w:pPr>
            <w:r/>
            <w:r>
              <w:rPr>
                <w:b w:val="0"/>
                <w:color w:val="172033"/>
                <w:sz w:val="19"/>
              </w:rPr>
              <w:t>Branch scope</w:t>
            </w:r>
          </w:p>
        </w:tc>
        <w:tc>
          <w:tcPr>
            <w:tcW w:type="dxa" w:w="3120"/>
            <w:vAlign w:val="center"/>
          </w:tcPr>
          <w:p>
            <w:pPr>
              <w:spacing w:after="0"/>
            </w:pPr>
            <w:r/>
            <w:r>
              <w:rPr>
                <w:b w:val="0"/>
                <w:color w:val="172033"/>
                <w:sz w:val="19"/>
              </w:rPr>
              <w:t>Strict branch-scoped data access for all modules.</w:t>
            </w:r>
          </w:p>
        </w:tc>
        <w:tc>
          <w:tcPr>
            <w:tcW w:type="dxa" w:w="3120"/>
            <w:vAlign w:val="center"/>
          </w:tcPr>
          <w:p>
            <w:pPr>
              <w:spacing w:after="0"/>
            </w:pPr>
            <w:r/>
            <w:r>
              <w:rPr>
                <w:b w:val="0"/>
                <w:color w:val="172033"/>
                <w:sz w:val="19"/>
              </w:rPr>
              <w:t>Partial</w:t>
            </w:r>
          </w:p>
        </w:tc>
      </w:tr>
      <w:tr>
        <w:tc>
          <w:tcPr>
            <w:tcW w:type="dxa" w:w="3120"/>
            <w:vAlign w:val="center"/>
          </w:tcPr>
          <w:p>
            <w:pPr>
              <w:spacing w:after="0"/>
            </w:pPr>
            <w:r/>
            <w:r>
              <w:rPr>
                <w:b w:val="0"/>
                <w:color w:val="172033"/>
                <w:sz w:val="19"/>
              </w:rPr>
              <w:t>Audit viewer</w:t>
            </w:r>
          </w:p>
        </w:tc>
        <w:tc>
          <w:tcPr>
            <w:tcW w:type="dxa" w:w="3120"/>
            <w:vAlign w:val="center"/>
          </w:tcPr>
          <w:p>
            <w:pPr>
              <w:spacing w:after="0"/>
            </w:pPr>
            <w:r/>
            <w:r>
              <w:rPr>
                <w:b w:val="0"/>
                <w:color w:val="172033"/>
                <w:sz w:val="19"/>
              </w:rPr>
              <w:t>Searchable audit log UI with filters and export.</w:t>
            </w:r>
          </w:p>
        </w:tc>
        <w:tc>
          <w:tcPr>
            <w:tcW w:type="dxa" w:w="3120"/>
            <w:vAlign w:val="center"/>
          </w:tcPr>
          <w:p>
            <w:pPr>
              <w:spacing w:after="0"/>
            </w:pPr>
            <w:r/>
            <w:r>
              <w:rPr>
                <w:b w:val="0"/>
                <w:color w:val="172033"/>
                <w:sz w:val="19"/>
              </w:rPr>
              <w:t>Missing UI</w:t>
            </w:r>
          </w:p>
        </w:tc>
      </w:tr>
      <w:tr>
        <w:tc>
          <w:tcPr>
            <w:tcW w:type="dxa" w:w="3120"/>
            <w:vAlign w:val="center"/>
          </w:tcPr>
          <w:p>
            <w:pPr>
              <w:spacing w:after="0"/>
            </w:pPr>
            <w:r/>
            <w:r>
              <w:rPr>
                <w:b w:val="0"/>
                <w:color w:val="172033"/>
                <w:sz w:val="19"/>
              </w:rPr>
              <w:t>Backup of documents/media</w:t>
            </w:r>
          </w:p>
        </w:tc>
        <w:tc>
          <w:tcPr>
            <w:tcW w:type="dxa" w:w="3120"/>
            <w:vAlign w:val="center"/>
          </w:tcPr>
          <w:p>
            <w:pPr>
              <w:spacing w:after="0"/>
            </w:pPr>
            <w:r/>
            <w:r>
              <w:rPr>
                <w:b w:val="0"/>
                <w:color w:val="172033"/>
                <w:sz w:val="19"/>
              </w:rPr>
              <w:t>Real file upload/storage for photo, signature, thumbprint and KYC files.</w:t>
            </w:r>
          </w:p>
        </w:tc>
        <w:tc>
          <w:tcPr>
            <w:tcW w:type="dxa" w:w="3120"/>
            <w:vAlign w:val="center"/>
          </w:tcPr>
          <w:p>
            <w:pPr>
              <w:spacing w:after="0"/>
            </w:pPr>
            <w:r/>
            <w:r>
              <w:rPr>
                <w:b w:val="0"/>
                <w:color w:val="172033"/>
                <w:sz w:val="19"/>
              </w:rPr>
              <w:t>Reference fields only</w:t>
            </w:r>
          </w:p>
        </w:tc>
      </w:tr>
    </w:tbl>
    <w:p/>
    <w:p>
      <w:pPr>
        <w:pStyle w:val="Heading1"/>
      </w:pPr>
      <w:r>
        <w:rPr>
          <w:color w:val="2E74B5"/>
        </w:rPr>
        <w:t>8. Real-Organization Comparison Template</w:t>
      </w:r>
    </w:p>
    <w:tbl>
      <w:tblPr>
        <w:tblStyle w:val="TableGrid"/>
        <w:tblW w:type="auto" w:w="0"/>
        <w:tblLayout w:type="fixed"/>
        <w:tblLook w:firstColumn="1" w:firstRow="1" w:lastColumn="0" w:lastRow="0" w:noHBand="0" w:noVBand="1" w:val="04A0"/>
      </w:tblPr>
      <w:tblGrid>
        <w:gridCol w:w="3120"/>
        <w:gridCol w:w="3120"/>
        <w:gridCol w:w="3120"/>
      </w:tblGrid>
      <w:tr>
        <w:tc>
          <w:tcPr>
            <w:tcW w:type="dxa" w:w="2088"/>
            <w:vAlign w:val="center"/>
            <w:shd w:fill="E8EEF5"/>
          </w:tcPr>
          <w:p>
            <w:pPr>
              <w:spacing w:after="0"/>
            </w:pPr>
            <w:r/>
            <w:r>
              <w:rPr>
                <w:b/>
                <w:color w:val="1F4D78"/>
                <w:sz w:val="19"/>
              </w:rPr>
              <w:t>Area to compare</w:t>
            </w:r>
          </w:p>
        </w:tc>
        <w:tc>
          <w:tcPr>
            <w:tcW w:type="dxa" w:w="6552"/>
            <w:vAlign w:val="center"/>
            <w:shd w:fill="E8EEF5"/>
          </w:tcPr>
          <w:p>
            <w:pPr>
              <w:spacing w:after="0"/>
            </w:pPr>
            <w:r/>
            <w:r>
              <w:rPr>
                <w:b/>
                <w:color w:val="1F4D78"/>
                <w:sz w:val="19"/>
              </w:rPr>
              <w:t>Questions for the cooperative office</w:t>
            </w:r>
          </w:p>
        </w:tc>
        <w:tc>
          <w:tcPr>
            <w:tcW w:type="dxa" w:w="720"/>
            <w:vAlign w:val="center"/>
            <w:shd w:fill="E8EEF5"/>
          </w:tcPr>
          <w:p>
            <w:pPr>
              <w:spacing w:after="0"/>
            </w:pPr>
            <w:r/>
            <w:r>
              <w:rPr>
                <w:b/>
                <w:color w:val="1F4D78"/>
                <w:sz w:val="19"/>
              </w:rPr>
              <w:t>Mark</w:t>
            </w:r>
          </w:p>
        </w:tc>
      </w:tr>
      <w:tr>
        <w:tc>
          <w:tcPr>
            <w:tcW w:type="dxa" w:w="3120"/>
            <w:vAlign w:val="center"/>
          </w:tcPr>
          <w:p>
            <w:pPr>
              <w:spacing w:after="0"/>
            </w:pPr>
            <w:r/>
            <w:r>
              <w:rPr>
                <w:b w:val="0"/>
                <w:color w:val="172033"/>
                <w:sz w:val="19"/>
              </w:rPr>
              <w:t>Membership</w:t>
            </w:r>
          </w:p>
        </w:tc>
        <w:tc>
          <w:tcPr>
            <w:tcW w:type="dxa" w:w="3120"/>
            <w:vAlign w:val="center"/>
          </w:tcPr>
          <w:p>
            <w:pPr>
              <w:spacing w:after="0"/>
            </w:pPr>
            <w:r/>
            <w:r>
              <w:rPr>
                <w:b w:val="0"/>
                <w:color w:val="172033"/>
                <w:sz w:val="19"/>
              </w:rPr>
              <w:t>What exact KYC fields, documents, nominees, guardian rules and membership types are required?</w:t>
            </w:r>
          </w:p>
        </w:tc>
        <w:tc>
          <w:tcPr>
            <w:tcW w:type="dxa" w:w="3120"/>
            <w:vAlign w:val="center"/>
          </w:tcPr>
          <w:p>
            <w:pPr>
              <w:spacing w:after="0"/>
            </w:pPr>
            <w:r/>
            <w:r>
              <w:rPr>
                <w:b w:val="0"/>
                <w:color w:val="172033"/>
                <w:sz w:val="19"/>
              </w:rPr>
            </w:r>
          </w:p>
        </w:tc>
      </w:tr>
      <w:tr>
        <w:tc>
          <w:tcPr>
            <w:tcW w:type="dxa" w:w="3120"/>
            <w:vAlign w:val="center"/>
          </w:tcPr>
          <w:p>
            <w:pPr>
              <w:spacing w:after="0"/>
            </w:pPr>
            <w:r/>
            <w:r>
              <w:rPr>
                <w:b w:val="0"/>
                <w:color w:val="172033"/>
                <w:sz w:val="19"/>
              </w:rPr>
              <w:t>Savings</w:t>
            </w:r>
          </w:p>
        </w:tc>
        <w:tc>
          <w:tcPr>
            <w:tcW w:type="dxa" w:w="3120"/>
            <w:vAlign w:val="center"/>
          </w:tcPr>
          <w:p>
            <w:pPr>
              <w:spacing w:after="0"/>
            </w:pPr>
            <w:r/>
            <w:r>
              <w:rPr>
                <w:b w:val="0"/>
                <w:color w:val="172033"/>
                <w:sz w:val="19"/>
              </w:rPr>
              <w:t>Which account products exist, interest methods, withdrawal limits, dormancy rules and fees?</w:t>
            </w:r>
          </w:p>
        </w:tc>
        <w:tc>
          <w:tcPr>
            <w:tcW w:type="dxa" w:w="3120"/>
            <w:vAlign w:val="center"/>
          </w:tcPr>
          <w:p>
            <w:pPr>
              <w:spacing w:after="0"/>
            </w:pPr>
            <w:r/>
            <w:r>
              <w:rPr>
                <w:b w:val="0"/>
                <w:color w:val="172033"/>
                <w:sz w:val="19"/>
              </w:rPr>
            </w:r>
          </w:p>
        </w:tc>
      </w:tr>
      <w:tr>
        <w:tc>
          <w:tcPr>
            <w:tcW w:type="dxa" w:w="3120"/>
            <w:vAlign w:val="center"/>
          </w:tcPr>
          <w:p>
            <w:pPr>
              <w:spacing w:after="0"/>
            </w:pPr>
            <w:r/>
            <w:r>
              <w:rPr>
                <w:b w:val="0"/>
                <w:color w:val="172033"/>
                <w:sz w:val="19"/>
              </w:rPr>
              <w:t>Loans</w:t>
            </w:r>
          </w:p>
        </w:tc>
        <w:tc>
          <w:tcPr>
            <w:tcW w:type="dxa" w:w="3120"/>
            <w:vAlign w:val="center"/>
          </w:tcPr>
          <w:p>
            <w:pPr>
              <w:spacing w:after="0"/>
            </w:pPr>
            <w:r/>
            <w:r>
              <w:rPr>
                <w:b w:val="0"/>
                <w:color w:val="172033"/>
                <w:sz w:val="19"/>
              </w:rPr>
              <w:t>What loan products, approval stages, guarantors, collateral, interest methods and penalty rules are used?</w:t>
            </w:r>
          </w:p>
        </w:tc>
        <w:tc>
          <w:tcPr>
            <w:tcW w:type="dxa" w:w="3120"/>
            <w:vAlign w:val="center"/>
          </w:tcPr>
          <w:p>
            <w:pPr>
              <w:spacing w:after="0"/>
            </w:pPr>
            <w:r/>
            <w:r>
              <w:rPr>
                <w:b w:val="0"/>
                <w:color w:val="172033"/>
                <w:sz w:val="19"/>
              </w:rPr>
            </w:r>
          </w:p>
        </w:tc>
      </w:tr>
      <w:tr>
        <w:tc>
          <w:tcPr>
            <w:tcW w:type="dxa" w:w="3120"/>
            <w:vAlign w:val="center"/>
          </w:tcPr>
          <w:p>
            <w:pPr>
              <w:spacing w:after="0"/>
            </w:pPr>
            <w:r/>
            <w:r>
              <w:rPr>
                <w:b w:val="0"/>
                <w:color w:val="172033"/>
                <w:sz w:val="19"/>
              </w:rPr>
              <w:t>Shares</w:t>
            </w:r>
          </w:p>
        </w:tc>
        <w:tc>
          <w:tcPr>
            <w:tcW w:type="dxa" w:w="3120"/>
            <w:vAlign w:val="center"/>
          </w:tcPr>
          <w:p>
            <w:pPr>
              <w:spacing w:after="0"/>
            </w:pPr>
            <w:r/>
            <w:r>
              <w:rPr>
                <w:b w:val="0"/>
                <w:color w:val="172033"/>
                <w:sz w:val="19"/>
              </w:rPr>
              <w:t>Share purchase limits, transfer/refund rules, certificate format and dividend process?</w:t>
            </w:r>
          </w:p>
        </w:tc>
        <w:tc>
          <w:tcPr>
            <w:tcW w:type="dxa" w:w="3120"/>
            <w:vAlign w:val="center"/>
          </w:tcPr>
          <w:p>
            <w:pPr>
              <w:spacing w:after="0"/>
            </w:pPr>
            <w:r/>
            <w:r>
              <w:rPr>
                <w:b w:val="0"/>
                <w:color w:val="172033"/>
                <w:sz w:val="19"/>
              </w:rPr>
            </w:r>
          </w:p>
        </w:tc>
      </w:tr>
      <w:tr>
        <w:tc>
          <w:tcPr>
            <w:tcW w:type="dxa" w:w="3120"/>
            <w:vAlign w:val="center"/>
          </w:tcPr>
          <w:p>
            <w:pPr>
              <w:spacing w:after="0"/>
            </w:pPr>
            <w:r/>
            <w:r>
              <w:rPr>
                <w:b w:val="0"/>
                <w:color w:val="172033"/>
                <w:sz w:val="19"/>
              </w:rPr>
              <w:t>Cash counter</w:t>
            </w:r>
          </w:p>
        </w:tc>
        <w:tc>
          <w:tcPr>
            <w:tcW w:type="dxa" w:w="3120"/>
            <w:vAlign w:val="center"/>
          </w:tcPr>
          <w:p>
            <w:pPr>
              <w:spacing w:after="0"/>
            </w:pPr>
            <w:r/>
            <w:r>
              <w:rPr>
                <w:b w:val="0"/>
                <w:color w:val="172033"/>
                <w:sz w:val="19"/>
              </w:rPr>
              <w:t>How many counters, cashier opening/closing process, vault movement and denomination requirements?</w:t>
            </w:r>
          </w:p>
        </w:tc>
        <w:tc>
          <w:tcPr>
            <w:tcW w:type="dxa" w:w="3120"/>
            <w:vAlign w:val="center"/>
          </w:tcPr>
          <w:p>
            <w:pPr>
              <w:spacing w:after="0"/>
            </w:pPr>
            <w:r/>
            <w:r>
              <w:rPr>
                <w:b w:val="0"/>
                <w:color w:val="172033"/>
                <w:sz w:val="19"/>
              </w:rPr>
            </w:r>
          </w:p>
        </w:tc>
      </w:tr>
      <w:tr>
        <w:tc>
          <w:tcPr>
            <w:tcW w:type="dxa" w:w="3120"/>
            <w:vAlign w:val="center"/>
          </w:tcPr>
          <w:p>
            <w:pPr>
              <w:spacing w:after="0"/>
            </w:pPr>
            <w:r/>
            <w:r>
              <w:rPr>
                <w:b w:val="0"/>
                <w:color w:val="172033"/>
                <w:sz w:val="19"/>
              </w:rPr>
              <w:t>Accounting</w:t>
            </w:r>
          </w:p>
        </w:tc>
        <w:tc>
          <w:tcPr>
            <w:tcW w:type="dxa" w:w="3120"/>
            <w:vAlign w:val="center"/>
          </w:tcPr>
          <w:p>
            <w:pPr>
              <w:spacing w:after="0"/>
            </w:pPr>
            <w:r/>
            <w:r>
              <w:rPr>
                <w:b w:val="0"/>
                <w:color w:val="172033"/>
                <w:sz w:val="19"/>
              </w:rPr>
              <w:t>Chart of accounts, voucher approval, fiscal year close, reserves and dividend postings?</w:t>
            </w:r>
          </w:p>
        </w:tc>
        <w:tc>
          <w:tcPr>
            <w:tcW w:type="dxa" w:w="3120"/>
            <w:vAlign w:val="center"/>
          </w:tcPr>
          <w:p>
            <w:pPr>
              <w:spacing w:after="0"/>
            </w:pPr>
            <w:r/>
            <w:r>
              <w:rPr>
                <w:b w:val="0"/>
                <w:color w:val="172033"/>
                <w:sz w:val="19"/>
              </w:rPr>
            </w:r>
          </w:p>
        </w:tc>
      </w:tr>
      <w:tr>
        <w:tc>
          <w:tcPr>
            <w:tcW w:type="dxa" w:w="3120"/>
            <w:vAlign w:val="center"/>
          </w:tcPr>
          <w:p>
            <w:pPr>
              <w:spacing w:after="0"/>
            </w:pPr>
            <w:r/>
            <w:r>
              <w:rPr>
                <w:b w:val="0"/>
                <w:color w:val="172033"/>
                <w:sz w:val="19"/>
              </w:rPr>
              <w:t>Reports</w:t>
            </w:r>
          </w:p>
        </w:tc>
        <w:tc>
          <w:tcPr>
            <w:tcW w:type="dxa" w:w="3120"/>
            <w:vAlign w:val="center"/>
          </w:tcPr>
          <w:p>
            <w:pPr>
              <w:spacing w:after="0"/>
            </w:pPr>
            <w:r/>
            <w:r>
              <w:rPr>
                <w:b w:val="0"/>
                <w:color w:val="172033"/>
                <w:sz w:val="19"/>
              </w:rPr>
              <w:t>Daily, monthly, annual, regulatory, board and member statement reports required?</w:t>
            </w:r>
          </w:p>
        </w:tc>
        <w:tc>
          <w:tcPr>
            <w:tcW w:type="dxa" w:w="3120"/>
            <w:vAlign w:val="center"/>
          </w:tcPr>
          <w:p>
            <w:pPr>
              <w:spacing w:after="0"/>
            </w:pPr>
            <w:r/>
            <w:r>
              <w:rPr>
                <w:b w:val="0"/>
                <w:color w:val="172033"/>
                <w:sz w:val="19"/>
              </w:rPr>
            </w:r>
          </w:p>
        </w:tc>
      </w:tr>
      <w:tr>
        <w:tc>
          <w:tcPr>
            <w:tcW w:type="dxa" w:w="3120"/>
            <w:vAlign w:val="center"/>
          </w:tcPr>
          <w:p>
            <w:pPr>
              <w:spacing w:after="0"/>
            </w:pPr>
            <w:r/>
            <w:r>
              <w:rPr>
                <w:b w:val="0"/>
                <w:color w:val="172033"/>
                <w:sz w:val="19"/>
              </w:rPr>
              <w:t>Excel</w:t>
            </w:r>
          </w:p>
        </w:tc>
        <w:tc>
          <w:tcPr>
            <w:tcW w:type="dxa" w:w="3120"/>
            <w:vAlign w:val="center"/>
          </w:tcPr>
          <w:p>
            <w:pPr>
              <w:spacing w:after="0"/>
            </w:pPr>
            <w:r/>
            <w:r>
              <w:rPr>
                <w:b w:val="0"/>
                <w:color w:val="172033"/>
                <w:sz w:val="19"/>
              </w:rPr>
              <w:t>Which data must be exported/imported, and what format does the office currently use?</w:t>
            </w:r>
          </w:p>
        </w:tc>
        <w:tc>
          <w:tcPr>
            <w:tcW w:type="dxa" w:w="3120"/>
            <w:vAlign w:val="center"/>
          </w:tcPr>
          <w:p>
            <w:pPr>
              <w:spacing w:after="0"/>
            </w:pPr>
            <w:r/>
            <w:r>
              <w:rPr>
                <w:b w:val="0"/>
                <w:color w:val="172033"/>
                <w:sz w:val="19"/>
              </w:rPr>
            </w:r>
          </w:p>
        </w:tc>
      </w:tr>
      <w:tr>
        <w:tc>
          <w:tcPr>
            <w:tcW w:type="dxa" w:w="3120"/>
            <w:vAlign w:val="center"/>
          </w:tcPr>
          <w:p>
            <w:pPr>
              <w:spacing w:after="0"/>
            </w:pPr>
            <w:r/>
            <w:r>
              <w:rPr>
                <w:b w:val="0"/>
                <w:color w:val="172033"/>
                <w:sz w:val="19"/>
              </w:rPr>
              <w:t>Security</w:t>
            </w:r>
          </w:p>
        </w:tc>
        <w:tc>
          <w:tcPr>
            <w:tcW w:type="dxa" w:w="3120"/>
            <w:vAlign w:val="center"/>
          </w:tcPr>
          <w:p>
            <w:pPr>
              <w:spacing w:after="0"/>
            </w:pPr>
            <w:r/>
            <w:r>
              <w:rPr>
                <w:b w:val="0"/>
                <w:color w:val="172033"/>
                <w:sz w:val="19"/>
              </w:rPr>
              <w:t>Roles, permissions, branch access, audit review and password/session policies?</w:t>
            </w:r>
          </w:p>
        </w:tc>
        <w:tc>
          <w:tcPr>
            <w:tcW w:type="dxa" w:w="3120"/>
            <w:vAlign w:val="center"/>
          </w:tcPr>
          <w:p>
            <w:pPr>
              <w:spacing w:after="0"/>
            </w:pPr>
            <w:r/>
            <w:r>
              <w:rPr>
                <w:b w:val="0"/>
                <w:color w:val="172033"/>
                <w:sz w:val="19"/>
              </w:rPr>
            </w:r>
          </w:p>
        </w:tc>
      </w:tr>
      <w:tr>
        <w:tc>
          <w:tcPr>
            <w:tcW w:type="dxa" w:w="3120"/>
            <w:vAlign w:val="center"/>
          </w:tcPr>
          <w:p>
            <w:pPr>
              <w:spacing w:after="0"/>
            </w:pPr>
            <w:r/>
            <w:r>
              <w:rPr>
                <w:b w:val="0"/>
                <w:color w:val="172033"/>
                <w:sz w:val="19"/>
              </w:rPr>
              <w:t>Backup</w:t>
            </w:r>
          </w:p>
        </w:tc>
        <w:tc>
          <w:tcPr>
            <w:tcW w:type="dxa" w:w="3120"/>
            <w:vAlign w:val="center"/>
          </w:tcPr>
          <w:p>
            <w:pPr>
              <w:spacing w:after="0"/>
            </w:pPr>
            <w:r/>
            <w:r>
              <w:rPr>
                <w:b w:val="0"/>
                <w:color w:val="172033"/>
                <w:sz w:val="19"/>
              </w:rPr>
              <w:t>Backup location, frequency, encryption, external drive/NAS and restore testing policy?</w:t>
            </w:r>
          </w:p>
        </w:tc>
        <w:tc>
          <w:tcPr>
            <w:tcW w:type="dxa" w:w="3120"/>
            <w:vAlign w:val="center"/>
          </w:tcPr>
          <w:p>
            <w:pPr>
              <w:spacing w:after="0"/>
            </w:pPr>
            <w:r/>
            <w:r>
              <w:rPr>
                <w:b w:val="0"/>
                <w:color w:val="172033"/>
                <w:sz w:val="19"/>
              </w:rPr>
            </w:r>
          </w:p>
        </w:tc>
      </w:tr>
    </w:tbl>
    <w:p/>
    <w:p>
      <w:pPr>
        <w:pStyle w:val="Heading1"/>
      </w:pPr>
      <w:r>
        <w:rPr>
          <w:color w:val="2E74B5"/>
        </w:rPr>
        <w:t>9. Recommended Next Development Phases</w:t>
      </w:r>
    </w:p>
    <w:tbl>
      <w:tblPr>
        <w:tblStyle w:val="TableGrid"/>
        <w:tblW w:type="auto" w:w="0"/>
        <w:tblLayout w:type="fixed"/>
        <w:tblLook w:firstColumn="1" w:firstRow="1" w:lastColumn="0" w:lastRow="0" w:noHBand="0" w:noVBand="1" w:val="04A0"/>
      </w:tblPr>
      <w:tblGrid>
        <w:gridCol w:w="3120"/>
        <w:gridCol w:w="3120"/>
        <w:gridCol w:w="3120"/>
      </w:tblGrid>
      <w:tr>
        <w:tc>
          <w:tcPr>
            <w:tcW w:type="dxa" w:w="1440"/>
            <w:vAlign w:val="center"/>
            <w:shd w:fill="E8EEF5"/>
          </w:tcPr>
          <w:p>
            <w:pPr>
              <w:spacing w:after="0"/>
            </w:pPr>
            <w:r/>
            <w:r>
              <w:rPr>
                <w:b/>
                <w:color w:val="1F4D78"/>
                <w:sz w:val="19"/>
              </w:rPr>
              <w:t>Phase</w:t>
            </w:r>
          </w:p>
        </w:tc>
        <w:tc>
          <w:tcPr>
            <w:tcW w:type="dxa" w:w="2880"/>
            <w:vAlign w:val="center"/>
            <w:shd w:fill="E8EEF5"/>
          </w:tcPr>
          <w:p>
            <w:pPr>
              <w:spacing w:after="0"/>
            </w:pPr>
            <w:r/>
            <w:r>
              <w:rPr>
                <w:b/>
                <w:color w:val="1F4D78"/>
                <w:sz w:val="19"/>
              </w:rPr>
              <w:t>Goal</w:t>
            </w:r>
          </w:p>
        </w:tc>
        <w:tc>
          <w:tcPr>
            <w:tcW w:type="dxa" w:w="5040"/>
            <w:vAlign w:val="center"/>
            <w:shd w:fill="E8EEF5"/>
          </w:tcPr>
          <w:p>
            <w:pPr>
              <w:spacing w:after="0"/>
            </w:pPr>
            <w:r/>
            <w:r>
              <w:rPr>
                <w:b/>
                <w:color w:val="1F4D78"/>
                <w:sz w:val="19"/>
              </w:rPr>
              <w:t>Deliverables</w:t>
            </w:r>
          </w:p>
        </w:tc>
      </w:tr>
      <w:tr>
        <w:tc>
          <w:tcPr>
            <w:tcW w:type="dxa" w:w="3120"/>
            <w:vAlign w:val="center"/>
          </w:tcPr>
          <w:p>
            <w:pPr>
              <w:spacing w:after="0"/>
            </w:pPr>
            <w:r/>
            <w:r>
              <w:rPr>
                <w:b w:val="0"/>
                <w:color w:val="172033"/>
                <w:sz w:val="19"/>
              </w:rPr>
              <w:t>Phase 1</w:t>
            </w:r>
          </w:p>
        </w:tc>
        <w:tc>
          <w:tcPr>
            <w:tcW w:type="dxa" w:w="3120"/>
            <w:vAlign w:val="center"/>
          </w:tcPr>
          <w:p>
            <w:pPr>
              <w:spacing w:after="0"/>
            </w:pPr>
            <w:r/>
            <w:r>
              <w:rPr>
                <w:b w:val="0"/>
                <w:color w:val="172033"/>
                <w:sz w:val="19"/>
              </w:rPr>
              <w:t>Approval and control</w:t>
            </w:r>
          </w:p>
        </w:tc>
        <w:tc>
          <w:tcPr>
            <w:tcW w:type="dxa" w:w="3120"/>
            <w:vAlign w:val="center"/>
          </w:tcPr>
          <w:p>
            <w:pPr>
              <w:spacing w:after="0"/>
            </w:pPr>
            <w:r/>
            <w:r>
              <w:rPr>
                <w:b w:val="0"/>
                <w:color w:val="172033"/>
                <w:sz w:val="19"/>
              </w:rPr>
              <w:t>Maker-checker queues, approval actions, locked-period checks, reversal workflow.</w:t>
            </w:r>
          </w:p>
        </w:tc>
      </w:tr>
      <w:tr>
        <w:tc>
          <w:tcPr>
            <w:tcW w:type="dxa" w:w="3120"/>
            <w:vAlign w:val="center"/>
          </w:tcPr>
          <w:p>
            <w:pPr>
              <w:spacing w:after="0"/>
            </w:pPr>
            <w:r/>
            <w:r>
              <w:rPr>
                <w:b w:val="0"/>
                <w:color w:val="172033"/>
                <w:sz w:val="19"/>
              </w:rPr>
              <w:t>Phase 2</w:t>
            </w:r>
          </w:p>
        </w:tc>
        <w:tc>
          <w:tcPr>
            <w:tcW w:type="dxa" w:w="3120"/>
            <w:vAlign w:val="center"/>
          </w:tcPr>
          <w:p>
            <w:pPr>
              <w:spacing w:after="0"/>
            </w:pPr>
            <w:r/>
            <w:r>
              <w:rPr>
                <w:b w:val="0"/>
                <w:color w:val="172033"/>
                <w:sz w:val="19"/>
              </w:rPr>
              <w:t>Product depth</w:t>
            </w:r>
          </w:p>
        </w:tc>
        <w:tc>
          <w:tcPr>
            <w:tcW w:type="dxa" w:w="3120"/>
            <w:vAlign w:val="center"/>
          </w:tcPr>
          <w:p>
            <w:pPr>
              <w:spacing w:after="0"/>
            </w:pPr>
            <w:r/>
            <w:r>
              <w:rPr>
                <w:b w:val="0"/>
                <w:color w:val="172033"/>
                <w:sz w:val="19"/>
              </w:rPr>
              <w:t>Savings/FD/loan product masters, interest methods, fees, collateral and guarantors.</w:t>
            </w:r>
          </w:p>
        </w:tc>
      </w:tr>
      <w:tr>
        <w:tc>
          <w:tcPr>
            <w:tcW w:type="dxa" w:w="3120"/>
            <w:vAlign w:val="center"/>
          </w:tcPr>
          <w:p>
            <w:pPr>
              <w:spacing w:after="0"/>
            </w:pPr>
            <w:r/>
            <w:r>
              <w:rPr>
                <w:b w:val="0"/>
                <w:color w:val="172033"/>
                <w:sz w:val="19"/>
              </w:rPr>
              <w:t>Phase 3</w:t>
            </w:r>
          </w:p>
        </w:tc>
        <w:tc>
          <w:tcPr>
            <w:tcW w:type="dxa" w:w="3120"/>
            <w:vAlign w:val="center"/>
          </w:tcPr>
          <w:p>
            <w:pPr>
              <w:spacing w:after="0"/>
            </w:pPr>
            <w:r/>
            <w:r>
              <w:rPr>
                <w:b w:val="0"/>
                <w:color w:val="172033"/>
                <w:sz w:val="19"/>
              </w:rPr>
              <w:t>Cash operations</w:t>
            </w:r>
          </w:p>
        </w:tc>
        <w:tc>
          <w:tcPr>
            <w:tcW w:type="dxa" w:w="3120"/>
            <w:vAlign w:val="center"/>
          </w:tcPr>
          <w:p>
            <w:pPr>
              <w:spacing w:after="0"/>
            </w:pPr>
            <w:r/>
            <w:r>
              <w:rPr>
                <w:b w:val="0"/>
                <w:color w:val="172033"/>
                <w:sz w:val="19"/>
              </w:rPr>
              <w:t>Cashier sessions, vault movement, denominations, handover and day close.</w:t>
            </w:r>
          </w:p>
        </w:tc>
      </w:tr>
      <w:tr>
        <w:tc>
          <w:tcPr>
            <w:tcW w:type="dxa" w:w="3120"/>
            <w:vAlign w:val="center"/>
          </w:tcPr>
          <w:p>
            <w:pPr>
              <w:spacing w:after="0"/>
            </w:pPr>
            <w:r/>
            <w:r>
              <w:rPr>
                <w:b w:val="0"/>
                <w:color w:val="172033"/>
                <w:sz w:val="19"/>
              </w:rPr>
              <w:t>Phase 4</w:t>
            </w:r>
          </w:p>
        </w:tc>
        <w:tc>
          <w:tcPr>
            <w:tcW w:type="dxa" w:w="3120"/>
            <w:vAlign w:val="center"/>
          </w:tcPr>
          <w:p>
            <w:pPr>
              <w:spacing w:after="0"/>
            </w:pPr>
            <w:r/>
            <w:r>
              <w:rPr>
                <w:b w:val="0"/>
                <w:color w:val="172033"/>
                <w:sz w:val="19"/>
              </w:rPr>
              <w:t>Reports and Excel</w:t>
            </w:r>
          </w:p>
        </w:tc>
        <w:tc>
          <w:tcPr>
            <w:tcW w:type="dxa" w:w="3120"/>
            <w:vAlign w:val="center"/>
          </w:tcPr>
          <w:p>
            <w:pPr>
              <w:spacing w:after="0"/>
            </w:pPr>
            <w:r/>
            <w:r>
              <w:rPr>
                <w:b w:val="0"/>
                <w:color w:val="172033"/>
                <w:sz w:val="19"/>
              </w:rPr>
              <w:t>Member statement, passbook, cash book, balance sheet, P&amp;L, XLSX export/import.</w:t>
            </w:r>
          </w:p>
        </w:tc>
      </w:tr>
      <w:tr>
        <w:tc>
          <w:tcPr>
            <w:tcW w:type="dxa" w:w="3120"/>
            <w:vAlign w:val="center"/>
          </w:tcPr>
          <w:p>
            <w:pPr>
              <w:spacing w:after="0"/>
            </w:pPr>
            <w:r/>
            <w:r>
              <w:rPr>
                <w:b w:val="0"/>
                <w:color w:val="172033"/>
                <w:sz w:val="19"/>
              </w:rPr>
              <w:t>Phase 5</w:t>
            </w:r>
          </w:p>
        </w:tc>
        <w:tc>
          <w:tcPr>
            <w:tcW w:type="dxa" w:w="3120"/>
            <w:vAlign w:val="center"/>
          </w:tcPr>
          <w:p>
            <w:pPr>
              <w:spacing w:after="0"/>
            </w:pPr>
            <w:r/>
            <w:r>
              <w:rPr>
                <w:b w:val="0"/>
                <w:color w:val="172033"/>
                <w:sz w:val="19"/>
              </w:rPr>
              <w:t>Backup and production hardening</w:t>
            </w:r>
          </w:p>
        </w:tc>
        <w:tc>
          <w:tcPr>
            <w:tcW w:type="dxa" w:w="3120"/>
            <w:vAlign w:val="center"/>
          </w:tcPr>
          <w:p>
            <w:pPr>
              <w:spacing w:after="0"/>
            </w:pPr>
            <w:r/>
            <w:r>
              <w:rPr>
                <w:b w:val="0"/>
                <w:color w:val="172033"/>
                <w:sz w:val="19"/>
              </w:rPr>
              <w:t>Encrypted backups, restore UI, audit viewer, session/rate-limit, branch scope tests.</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84"/>
        <w:sz w:val="16"/>
      </w:rPr>
      <w:t>Sahakari Functionality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