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rFonts w:ascii="Calibri" w:hAnsi="Calibri"/>
          <w:b/>
          <w:color w:val="2E75B6"/>
          <w:sz w:val="20"/>
        </w:rPr>
        <w:t>INTERNSHIP PROJECT REPORT • IBM SKILLSBUILD DATA ANALYTICS WITH AI</w:t>
      </w:r>
    </w:p>
    <w:p>
      <w:pPr>
        <w:spacing w:before="160" w:after="80"/>
      </w:pPr>
      <w:r>
        <w:rPr>
          <w:rFonts w:ascii="Calibri" w:hAnsi="Calibri"/>
          <w:b/>
          <w:color w:val="1F4E79"/>
          <w:sz w:val="48"/>
        </w:rPr>
        <w:t>Video Game Commercial Success &amp; Global Revenue Forecasting System</w:t>
      </w:r>
    </w:p>
    <w:p>
      <w:pPr>
        <w:spacing w:after="360"/>
      </w:pPr>
      <w:r>
        <w:rPr>
          <w:rFonts w:ascii="Calibri" w:hAnsi="Calibri"/>
          <w:color w:val="64748B"/>
          <w:sz w:val="24"/>
        </w:rPr>
        <w:t>A Predictive Machine Learning Framework for Software Revenue Projection, Regional Market Share Allocation, and Risk-Mitigated Studio Publishing Advisory</w:t>
      </w:r>
    </w:p>
    <w:tbl>
      <w:tblPr>
        <w:tblW w:type="auto" w:w="0"/>
        <w:jc w:val="center"/>
        <w:tblLook w:firstColumn="1" w:firstRow="1" w:lastColumn="0" w:lastRow="0" w:noHBand="0" w:noVBand="1" w:val="04A0"/>
      </w:tblPr>
      <w:tblGrid>
        <w:gridCol w:w="4680"/>
        <w:gridCol w:w="4680"/>
      </w:tblGrid>
      <w:tr>
        <w:tc>
          <w:tcPr>
            <w:tcW w:type="dxa" w:w="2880"/>
            <w:shd w:fill="F0F4F8"/>
            <w:tcMar>
              <w:top w:w="60" w:type="dxa"/>
              <w:bottom w:w="60" w:type="dxa"/>
              <w:left w:w="100" w:type="dxa"/>
              <w:right w:w="100" w:type="dxa"/>
            </w:tcMar>
          </w:tcPr>
          <w:p>
            <w:pPr>
              <w:spacing w:after="40"/>
            </w:pPr>
            <w:r>
              <w:rPr>
                <w:rFonts w:ascii="Calibri" w:hAnsi="Calibri"/>
                <w:b/>
                <w:color w:val="1F4E79"/>
                <w:sz w:val="19"/>
              </w:rPr>
              <w:t>Domain Track:</w:t>
            </w:r>
          </w:p>
        </w:tc>
        <w:tc>
          <w:tcPr>
            <w:tcW w:type="dxa" w:w="6480"/>
            <w:shd w:fill="F0F4F8"/>
            <w:tcMar>
              <w:top w:w="60" w:type="dxa"/>
              <w:bottom w:w="60" w:type="dxa"/>
              <w:left w:w="100" w:type="dxa"/>
              <w:right w:w="100" w:type="dxa"/>
            </w:tcMar>
          </w:tcPr>
          <w:p>
            <w:pPr>
              <w:spacing w:after="40"/>
            </w:pPr>
            <w:r>
              <w:rPr>
                <w:rFonts w:ascii="Calibri" w:hAnsi="Calibri"/>
                <w:color w:val="282828"/>
                <w:sz w:val="19"/>
              </w:rPr>
              <w:t>Data Analytics, Machine Learning &amp; Applied AI</w:t>
            </w:r>
          </w:p>
        </w:tc>
      </w:tr>
      <w:tr>
        <w:tc>
          <w:tcPr>
            <w:tcW w:type="dxa" w:w="2880"/>
            <w:shd w:fill="F0F4F8"/>
            <w:tcMar>
              <w:top w:w="60" w:type="dxa"/>
              <w:bottom w:w="60" w:type="dxa"/>
              <w:left w:w="100" w:type="dxa"/>
              <w:right w:w="100" w:type="dxa"/>
            </w:tcMar>
          </w:tcPr>
          <w:p>
            <w:pPr>
              <w:spacing w:after="40"/>
            </w:pPr>
            <w:r>
              <w:rPr>
                <w:rFonts w:ascii="Calibri" w:hAnsi="Calibri"/>
                <w:b/>
                <w:color w:val="1F4E79"/>
                <w:sz w:val="19"/>
              </w:rPr>
              <w:t>Industry Sector:</w:t>
            </w:r>
          </w:p>
        </w:tc>
        <w:tc>
          <w:tcPr>
            <w:tcW w:type="dxa" w:w="6480"/>
            <w:shd w:fill="F0F4F8"/>
            <w:tcMar>
              <w:top w:w="60" w:type="dxa"/>
              <w:bottom w:w="60" w:type="dxa"/>
              <w:left w:w="100" w:type="dxa"/>
              <w:right w:w="100" w:type="dxa"/>
            </w:tcMar>
          </w:tcPr>
          <w:p>
            <w:pPr>
              <w:spacing w:after="40"/>
            </w:pPr>
            <w:r>
              <w:rPr>
                <w:rFonts w:ascii="Calibri" w:hAnsi="Calibri"/>
                <w:color w:val="282828"/>
                <w:sz w:val="19"/>
              </w:rPr>
              <w:t>Interactive Digital Entertainment &amp; Media Software Publishing</w:t>
            </w:r>
          </w:p>
        </w:tc>
      </w:tr>
      <w:tr>
        <w:tc>
          <w:tcPr>
            <w:tcW w:type="dxa" w:w="2880"/>
            <w:shd w:fill="F0F4F8"/>
            <w:tcMar>
              <w:top w:w="60" w:type="dxa"/>
              <w:bottom w:w="60" w:type="dxa"/>
              <w:left w:w="100" w:type="dxa"/>
              <w:right w:w="100" w:type="dxa"/>
            </w:tcMar>
          </w:tcPr>
          <w:p>
            <w:pPr>
              <w:spacing w:after="40"/>
            </w:pPr>
            <w:r>
              <w:rPr>
                <w:rFonts w:ascii="Calibri" w:hAnsi="Calibri"/>
                <w:b/>
                <w:color w:val="1F4E79"/>
                <w:sz w:val="19"/>
              </w:rPr>
              <w:t>Core Stack:</w:t>
            </w:r>
          </w:p>
        </w:tc>
        <w:tc>
          <w:tcPr>
            <w:tcW w:type="dxa" w:w="6480"/>
            <w:shd w:fill="F0F4F8"/>
            <w:tcMar>
              <w:top w:w="60" w:type="dxa"/>
              <w:bottom w:w="60" w:type="dxa"/>
              <w:left w:w="100" w:type="dxa"/>
              <w:right w:w="100" w:type="dxa"/>
            </w:tcMar>
          </w:tcPr>
          <w:p>
            <w:pPr>
              <w:spacing w:after="40"/>
            </w:pPr>
            <w:r>
              <w:rPr>
                <w:rFonts w:ascii="Calibri" w:hAnsi="Calibri"/>
                <w:color w:val="282828"/>
                <w:sz w:val="19"/>
              </w:rPr>
              <w:t>Python 3.12, Scikit-learn, Pandas, Plotly, Streamlit</w:t>
            </w:r>
          </w:p>
        </w:tc>
      </w:tr>
      <w:tr>
        <w:tc>
          <w:tcPr>
            <w:tcW w:type="dxa" w:w="2880"/>
            <w:shd w:fill="F0F4F8"/>
            <w:tcMar>
              <w:top w:w="60" w:type="dxa"/>
              <w:bottom w:w="60" w:type="dxa"/>
              <w:left w:w="100" w:type="dxa"/>
              <w:right w:w="100" w:type="dxa"/>
            </w:tcMar>
          </w:tcPr>
          <w:p>
            <w:pPr>
              <w:spacing w:after="40"/>
            </w:pPr>
            <w:r>
              <w:rPr>
                <w:rFonts w:ascii="Calibri" w:hAnsi="Calibri"/>
                <w:b/>
                <w:color w:val="1F4E79"/>
                <w:sz w:val="19"/>
              </w:rPr>
              <w:t>Dataset Source:</w:t>
            </w:r>
          </w:p>
        </w:tc>
        <w:tc>
          <w:tcPr>
            <w:tcW w:type="dxa" w:w="6480"/>
            <w:shd w:fill="F0F4F8"/>
            <w:tcMar>
              <w:top w:w="60" w:type="dxa"/>
              <w:bottom w:w="60" w:type="dxa"/>
              <w:left w:w="100" w:type="dxa"/>
              <w:right w:w="100" w:type="dxa"/>
            </w:tcMar>
          </w:tcPr>
          <w:p>
            <w:pPr>
              <w:spacing w:after="40"/>
            </w:pPr>
            <w:r>
              <w:rPr>
                <w:rFonts w:ascii="Calibri" w:hAnsi="Calibri"/>
                <w:color w:val="282828"/>
                <w:sz w:val="19"/>
              </w:rPr>
              <w:t>Kaggle: Video Games Sales as at 22 Dec 2016 (Gregory Smith / Rush49)</w:t>
            </w:r>
          </w:p>
        </w:tc>
      </w:tr>
    </w:tbl>
    <w:p>
      <w:pPr>
        <w:spacing w:after="280"/>
      </w:pPr>
    </w:p>
    <w:p>
      <w:pPr>
        <w:pStyle w:val="Heading2"/>
        <w:keepNext/>
        <w:spacing w:before="240" w:after="80"/>
      </w:pPr>
      <w:r>
        <w:rPr>
          <w:rFonts w:ascii="Calibri" w:hAnsi="Calibri"/>
          <w:b/>
          <w:color w:val="2E75B6"/>
          <w:sz w:val="26"/>
        </w:rPr>
        <w:t>Executive Summary</w:t>
      </w:r>
    </w:p>
    <w:p>
      <w:pPr>
        <w:spacing w:line="276" w:lineRule="auto" w:after="120"/>
      </w:pPr>
      <w:r>
        <w:rPr>
          <w:rFonts w:ascii="Calibri" w:hAnsi="Calibri"/>
          <w:color w:val="282828"/>
          <w:sz w:val="21"/>
        </w:rPr>
        <w:t>The contemporary interactive entertainment industry is characterized by an extreme power-law distribution of commercial returns. Production budgets for modern AAA video games routinely surpass $100 million, while mid-tier and independent studios face perilous release environments where up to 75% of commercial titles fail to break even on invested capital. Publishers are confronted with complex multidimensional uncertainties including console hardware demographics, genre-specific saturation, critic review sentiment, volatile consumer community ratings, and heterogeneous territorial adoption patterns across North America, Europe, Japan, and emerging global markets.</w:t>
      </w:r>
    </w:p>
    <w:p>
      <w:pPr>
        <w:spacing w:line="276" w:lineRule="auto" w:after="120"/>
      </w:pPr>
      <w:r>
        <w:rPr>
          <w:rFonts w:ascii="Calibri" w:hAnsi="Calibri"/>
          <w:color w:val="282828"/>
          <w:sz w:val="21"/>
        </w:rPr>
        <w:t>This project develops an enterprise-grade, end-to-end predictive decision-support system designed to forecast total global sales volumes ($M gross retail units) and evaluate commercial risk tiers prior to product launch. Built on an empirical corpus of historical video game sales with critic and player sentiment metrics, the solution implements a feature-engineered machine learning pipeline incorporating regularized Random Forest Regression, dynamic regional split allocation, and proprietary monotonic logic guardrails. The system addresses critical empirical failure modes—specifically resolving the 'review-bombing inversion trap' where controversial mega-blockbusters with low user ratings distort naive decision trees. Deployed as an interactive Streamlit application, the tool translates quantitative ML inferences into actionable publisher advisory playbooks, marketing capital allocations, and physical-versus-digital distribution strategies.</w:t>
      </w:r>
    </w:p>
    <w:p>
      <w:r>
        <w:br w:type="page"/>
      </w:r>
    </w:p>
    <w:p>
      <w:pPr>
        <w:pStyle w:val="Heading1"/>
        <w:keepNext/>
        <w:spacing w:before="360" w:after="120"/>
      </w:pPr>
      <w:r>
        <w:rPr>
          <w:rFonts w:ascii="Calibri" w:hAnsi="Calibri"/>
          <w:b/>
          <w:color w:val="1F4E79"/>
          <w:sz w:val="32"/>
        </w:rPr>
        <w:t>1. Problem Statement &amp; Research Objectives</w:t>
      </w:r>
    </w:p>
    <w:p>
      <w:pPr>
        <w:pStyle w:val="Heading2"/>
        <w:keepNext/>
        <w:spacing w:before="240" w:after="80"/>
      </w:pPr>
      <w:r>
        <w:rPr>
          <w:rFonts w:ascii="Calibri" w:hAnsi="Calibri"/>
          <w:b/>
          <w:color w:val="2E75B6"/>
          <w:sz w:val="26"/>
        </w:rPr>
        <w:t>1.1 The High-Stakes Economics of Video Game Publishing</w:t>
      </w:r>
    </w:p>
    <w:p>
      <w:pPr>
        <w:spacing w:line="276" w:lineRule="auto" w:after="120"/>
      </w:pPr>
      <w:r>
        <w:rPr>
          <w:rFonts w:ascii="Calibri" w:hAnsi="Calibri"/>
          <w:color w:val="282828"/>
          <w:sz w:val="21"/>
        </w:rPr>
        <w:t>Unlike conventional consumer packaged goods or enterprise software, video game commercialization operates under extreme hits-driven dynamics resembling venture capital portfolios. A diminutive top tier of blockbuster franchises (e.g., Grand Theft Auto, Call of Duty, Mario Kart) captures over 80% of aggregate industry profits, while thousands of competing titles compete for the residual market share. In this asymmetric risk environment, publisher executive suites must make critical capital allocation decisions 18 to 36 months in advance of release, committing substantial resources to licensing, development, physical manufacturing, retail shelf guarantees, and global marketing campaigns without verified pre-launch revenue projections.</w:t>
      </w:r>
    </w:p>
    <w:p>
      <w:pPr>
        <w:spacing w:line="276" w:lineRule="auto" w:after="120"/>
      </w:pPr>
      <w:r>
        <w:rPr>
          <w:rFonts w:ascii="Calibri" w:hAnsi="Calibri"/>
          <w:b/>
          <w:color w:val="1F4E79"/>
          <w:sz w:val="21"/>
        </w:rPr>
        <w:t xml:space="preserve">Core Industry Challenges: </w:t>
      </w:r>
      <w:r>
        <w:rPr>
          <w:rFonts w:ascii="Calibri" w:hAnsi="Calibri"/>
          <w:color w:val="282828"/>
          <w:sz w:val="21"/>
        </w:rPr>
        <w:t>Key operational failure modes currently afflicting game publishers include:</w:t>
      </w:r>
    </w:p>
    <w:p>
      <w:pPr>
        <w:pStyle w:val="ListBullet"/>
        <w:spacing w:line="276" w:lineRule="auto" w:after="60"/>
      </w:pPr>
      <w:r>
        <w:rPr>
          <w:rFonts w:ascii="Calibri" w:hAnsi="Calibri"/>
          <w:b/>
          <w:color w:val="1F4E79"/>
        </w:rPr>
        <w:t xml:space="preserve">Inventory &amp; Distribution Misallocation: </w:t>
      </w:r>
      <w:r>
        <w:rPr>
          <w:rFonts w:ascii="Calibri" w:hAnsi="Calibri"/>
          <w:color w:val="282828"/>
        </w:rPr>
        <w:t>Over-ordering physical console disc inventory for underperforming titles creates catastrophic write-downs and reverse-logistics costs, whereas under-ordering blockbusters forfeits crucial Day-1 retail momentum.</w:t>
      </w:r>
    </w:p>
    <w:p>
      <w:pPr>
        <w:pStyle w:val="ListBullet"/>
        <w:spacing w:line="276" w:lineRule="auto" w:after="60"/>
      </w:pPr>
      <w:r>
        <w:rPr>
          <w:rFonts w:ascii="Calibri" w:hAnsi="Calibri"/>
          <w:b/>
          <w:color w:val="1F4E79"/>
        </w:rPr>
        <w:t xml:space="preserve">Territorial Disconnects: </w:t>
      </w:r>
      <w:r>
        <w:rPr>
          <w:rFonts w:ascii="Calibri" w:hAnsi="Calibri"/>
          <w:color w:val="282828"/>
        </w:rPr>
        <w:t>A game genre that flourishes in Japan (such as turn-based Role-Playing Games) may face commercial indifference in North America or Western Europe without targeted regional localization and platform calibration.</w:t>
      </w:r>
    </w:p>
    <w:p>
      <w:pPr>
        <w:pStyle w:val="ListBullet"/>
        <w:spacing w:line="276" w:lineRule="auto" w:after="60"/>
      </w:pPr>
      <w:r>
        <w:rPr>
          <w:rFonts w:ascii="Calibri" w:hAnsi="Calibri"/>
          <w:b/>
          <w:color w:val="1F4E79"/>
        </w:rPr>
        <w:t xml:space="preserve">Metacritic vs. Community Sentiment Asymmetry: </w:t>
      </w:r>
      <w:r>
        <w:rPr>
          <w:rFonts w:ascii="Calibri" w:hAnsi="Calibri"/>
          <w:color w:val="282828"/>
        </w:rPr>
        <w:t>Modern consumer gaming culture frequently engages in organized 'review-bombing' campaigns on public score aggregators due to monetization models or narrative choices, severing the naive statistical correlation between public user scores and commercial success.</w:t>
      </w:r>
    </w:p>
    <w:p>
      <w:pPr>
        <w:pStyle w:val="ListBullet"/>
        <w:spacing w:line="276" w:lineRule="auto" w:after="60"/>
      </w:pPr>
      <w:r>
        <w:rPr>
          <w:rFonts w:ascii="Calibri" w:hAnsi="Calibri"/>
          <w:b/>
          <w:color w:val="1F4E79"/>
        </w:rPr>
        <w:t xml:space="preserve">Hardware Lifecycle Transitions: </w:t>
      </w:r>
      <w:r>
        <w:rPr>
          <w:rFonts w:ascii="Calibri" w:hAnsi="Calibri"/>
          <w:color w:val="282828"/>
        </w:rPr>
        <w:t>Consumer purchasing propensity shifts rapidly across console generations (e.g., PS3 to PS4, Xbox 360 to Xbox One), requiring platform-specific normalization to avoid obsolete comparisons.</w:t>
      </w:r>
    </w:p>
    <w:p>
      <w:pPr>
        <w:pStyle w:val="Heading2"/>
        <w:keepNext/>
        <w:spacing w:before="240" w:after="80"/>
      </w:pPr>
      <w:r>
        <w:rPr>
          <w:rFonts w:ascii="Calibri" w:hAnsi="Calibri"/>
          <w:b/>
          <w:color w:val="2E75B6"/>
          <w:sz w:val="26"/>
        </w:rPr>
        <w:t>1.2 Project Scope &amp; Technical Objectives</w:t>
      </w:r>
    </w:p>
    <w:p>
      <w:pPr>
        <w:spacing w:line="276" w:lineRule="auto" w:after="120"/>
      </w:pPr>
      <w:r>
        <w:rPr>
          <w:rFonts w:ascii="Calibri" w:hAnsi="Calibri"/>
          <w:color w:val="282828"/>
          <w:sz w:val="21"/>
        </w:rPr>
        <w:t>To systematically mitigate these publishing hazards, this project establishes a multi-tiered technical solution with five formal objectives:</w:t>
      </w:r>
    </w:p>
    <w:p>
      <w:pPr>
        <w:pStyle w:val="ListBullet"/>
        <w:spacing w:line="276" w:lineRule="auto" w:after="60"/>
      </w:pPr>
      <w:r>
        <w:rPr>
          <w:rFonts w:ascii="Calibri" w:hAnsi="Calibri"/>
          <w:b/>
          <w:color w:val="1F4E79"/>
        </w:rPr>
        <w:t xml:space="preserve">Objective 1 - Global Revenue Estimation: </w:t>
      </w:r>
      <w:r>
        <w:rPr>
          <w:rFonts w:ascii="Calibri" w:hAnsi="Calibri"/>
          <w:color w:val="282828"/>
        </w:rPr>
        <w:t>Train a supervised regression pipeline to predict lifetime global retail sales (in Millions of units/dollars) as a function of target platform, genre classification, and projected review scores.</w:t>
      </w:r>
    </w:p>
    <w:p>
      <w:pPr>
        <w:pStyle w:val="ListBullet"/>
        <w:spacing w:line="276" w:lineRule="auto" w:after="60"/>
      </w:pPr>
      <w:r>
        <w:rPr>
          <w:rFonts w:ascii="Calibri" w:hAnsi="Calibri"/>
          <w:b/>
          <w:color w:val="1F4E79"/>
        </w:rPr>
        <w:t xml:space="preserve">Objective 2 - Commercial Risk Tier Stratification: </w:t>
      </w:r>
      <w:r>
        <w:rPr>
          <w:rFonts w:ascii="Calibri" w:hAnsi="Calibri"/>
          <w:color w:val="282828"/>
        </w:rPr>
        <w:t>Map continuous regression outputs into discrete, actionable business risk classifications: High Risk (&lt; $0.5M), Moderate Viability ($0.5M - $2.0M), and Potential Blockbuster (&gt; $2.0M).</w:t>
      </w:r>
    </w:p>
    <w:p>
      <w:pPr>
        <w:pStyle w:val="ListBullet"/>
        <w:spacing w:line="276" w:lineRule="auto" w:after="60"/>
      </w:pPr>
      <w:r>
        <w:rPr>
          <w:rFonts w:ascii="Calibri" w:hAnsi="Calibri"/>
          <w:b/>
          <w:color w:val="1F4E79"/>
        </w:rPr>
        <w:t xml:space="preserve">Objective 3 - Dynamic Regional Revenue Decomposition: </w:t>
      </w:r>
      <w:r>
        <w:rPr>
          <w:rFonts w:ascii="Calibri" w:hAnsi="Calibri"/>
          <w:color w:val="282828"/>
        </w:rPr>
        <w:t>Dynamically compute anticipated regional sales splits across North America (NA), Europe (EU), Japan (JP), and Other Rest-of-World territories based on empirical segment historical proportions.</w:t>
      </w:r>
    </w:p>
    <w:p>
      <w:pPr>
        <w:pStyle w:val="ListBullet"/>
        <w:spacing w:line="276" w:lineRule="auto" w:after="60"/>
      </w:pPr>
      <w:r>
        <w:rPr>
          <w:rFonts w:ascii="Calibri" w:hAnsi="Calibri"/>
          <w:b/>
          <w:color w:val="1F4E79"/>
        </w:rPr>
        <w:t xml:space="preserve">Objective 4 - Monotonic Logic Guardrail Engineering: </w:t>
      </w:r>
      <w:r>
        <w:rPr>
          <w:rFonts w:ascii="Calibri" w:hAnsi="Calibri"/>
          <w:color w:val="282828"/>
        </w:rPr>
        <w:t>Eliminate empirical review-bombing artifacts by enforcing strict monotonic mathematical constraints, ensuring that superior critical and player reception strictly yields non-decreasing commercial projections.</w:t>
      </w:r>
    </w:p>
    <w:p>
      <w:pPr>
        <w:pStyle w:val="ListBullet"/>
        <w:spacing w:line="276" w:lineRule="auto" w:after="60"/>
      </w:pPr>
      <w:r>
        <w:rPr>
          <w:rFonts w:ascii="Calibri" w:hAnsi="Calibri"/>
          <w:b/>
          <w:color w:val="1F4E79"/>
        </w:rPr>
        <w:t xml:space="preserve">Objective 5 - Executive Decision-Support Deployment: </w:t>
      </w:r>
      <w:r>
        <w:rPr>
          <w:rFonts w:ascii="Calibri" w:hAnsi="Calibri"/>
          <w:color w:val="282828"/>
        </w:rPr>
        <w:t>Deploy a latency-free, self-contained Streamlit analytical dashboard equipped with interactive sensitivity analysis controls, executive KPI metrics, Plotly visualizations, and automated publisher launch playbooks.</w:t>
      </w:r>
    </w:p>
    <w:p>
      <w:pPr>
        <w:pStyle w:val="Heading1"/>
        <w:keepNext/>
        <w:spacing w:before="360" w:after="120"/>
      </w:pPr>
      <w:r>
        <w:rPr>
          <w:rFonts w:ascii="Calibri" w:hAnsi="Calibri"/>
          <w:b/>
          <w:color w:val="1F4E79"/>
          <w:sz w:val="32"/>
        </w:rPr>
        <w:t>2. Dataset Architecture &amp; Hygiene</w:t>
      </w:r>
    </w:p>
    <w:p>
      <w:pPr>
        <w:pStyle w:val="Heading2"/>
        <w:keepNext/>
        <w:spacing w:before="240" w:after="80"/>
      </w:pPr>
      <w:r>
        <w:rPr>
          <w:rFonts w:ascii="Calibri" w:hAnsi="Calibri"/>
          <w:b/>
          <w:color w:val="2E75B6"/>
          <w:sz w:val="26"/>
        </w:rPr>
        <w:t>2.1 Corpus Provenance &amp; Raw Feature Schema</w:t>
      </w:r>
    </w:p>
    <w:p>
      <w:pPr>
        <w:spacing w:line="276" w:lineRule="auto" w:after="120"/>
      </w:pPr>
      <w:r>
        <w:rPr>
          <w:rFonts w:ascii="Calibri" w:hAnsi="Calibri"/>
          <w:color w:val="282828"/>
          <w:sz w:val="21"/>
        </w:rPr>
        <w:t>The primary empirical dataset utilized for model development is the 'Video Games Sales with Ratings' repository compiled from VGChartz and Metacritic scrapings. The raw dataset contains 16,719 records documenting historical title releases up to December 2016, capturing sales metrics across 31 platforms and 12 distinct genre classifications.</w:t>
      </w:r>
    </w:p>
    <w:p>
      <w:pPr>
        <w:pStyle w:val="Heading3"/>
        <w:keepNext/>
        <w:spacing w:before="160" w:after="40"/>
      </w:pPr>
      <w:r>
        <w:rPr>
          <w:rFonts w:ascii="Calibri" w:hAnsi="Calibri"/>
          <w:b/>
          <w:color w:val="282828"/>
          <w:sz w:val="22"/>
        </w:rPr>
        <w:t>Table 1: Dataset Feature Schema &amp; Preprocessing Transformations</w:t>
      </w:r>
    </w:p>
    <w:tbl>
      <w:tblPr>
        <w:tblW w:type="auto" w:w="0"/>
        <w:jc w:val="center"/>
        <w:tblLook w:firstColumn="1" w:firstRow="1" w:lastColumn="0" w:lastRow="0" w:noHBand="0" w:noVBand="1" w:val="04A0"/>
        <w:tblBorders>
          <w:top w:val="single" w:sz="4" w:space="0" w:color="CBD5E1"/>
          <w:bottom w:val="single" w:sz="6" w:space="0" w:color="1F4E79"/>
          <w:insideH w:val="single" w:sz="4" w:space="0" w:color="CBD5E1"/>
          <w:insideV w:val="none"/>
          <w:left w:val="none"/>
          <w:right w:val="none"/>
        </w:tblBorders>
      </w:tblPr>
      <w:tblGrid>
        <w:gridCol w:w="2340"/>
        <w:gridCol w:w="2340"/>
        <w:gridCol w:w="2340"/>
        <w:gridCol w:w="2340"/>
      </w:tblGrid>
      <w:tr>
        <w:tc>
          <w:tcPr>
            <w:tcW w:type="dxa" w:w="2340"/>
            <w:shd w:fill="1F4E79"/>
            <w:tcMar>
              <w:top w:w="100" w:type="dxa"/>
              <w:bottom w:w="100" w:type="dxa"/>
              <w:left w:w="120" w:type="dxa"/>
              <w:right w:w="120" w:type="dxa"/>
            </w:tcMar>
          </w:tcPr>
          <w:p>
            <w:pPr>
              <w:jc w:val="left"/>
            </w:pPr>
            <w:r>
              <w:rPr>
                <w:rFonts w:ascii="Calibri" w:hAnsi="Calibri"/>
                <w:b/>
                <w:color w:val="FFFFFF"/>
                <w:sz w:val="19"/>
              </w:rPr>
              <w:t>Feature Name</w:t>
            </w:r>
          </w:p>
        </w:tc>
        <w:tc>
          <w:tcPr>
            <w:tcW w:type="dxa" w:w="2340"/>
            <w:shd w:fill="1F4E79"/>
            <w:tcMar>
              <w:top w:w="100" w:type="dxa"/>
              <w:bottom w:w="100" w:type="dxa"/>
              <w:left w:w="120" w:type="dxa"/>
              <w:right w:w="120" w:type="dxa"/>
            </w:tcMar>
          </w:tcPr>
          <w:p>
            <w:pPr>
              <w:jc w:val="left"/>
            </w:pPr>
            <w:r>
              <w:rPr>
                <w:rFonts w:ascii="Calibri" w:hAnsi="Calibri"/>
                <w:b/>
                <w:color w:val="FFFFFF"/>
                <w:sz w:val="19"/>
              </w:rPr>
              <w:t>Raw Data Type</w:t>
            </w:r>
          </w:p>
        </w:tc>
        <w:tc>
          <w:tcPr>
            <w:tcW w:type="dxa" w:w="2340"/>
            <w:shd w:fill="1F4E79"/>
            <w:tcMar>
              <w:top w:w="100" w:type="dxa"/>
              <w:bottom w:w="100" w:type="dxa"/>
              <w:left w:w="120" w:type="dxa"/>
              <w:right w:w="120" w:type="dxa"/>
            </w:tcMar>
          </w:tcPr>
          <w:p>
            <w:pPr>
              <w:jc w:val="left"/>
            </w:pPr>
            <w:r>
              <w:rPr>
                <w:rFonts w:ascii="Calibri" w:hAnsi="Calibri"/>
                <w:b/>
                <w:color w:val="FFFFFF"/>
                <w:sz w:val="19"/>
              </w:rPr>
              <w:t>Statistical Role</w:t>
            </w:r>
          </w:p>
        </w:tc>
        <w:tc>
          <w:tcPr>
            <w:tcW w:type="dxa" w:w="2340"/>
            <w:shd w:fill="1F4E79"/>
            <w:tcMar>
              <w:top w:w="100" w:type="dxa"/>
              <w:bottom w:w="100" w:type="dxa"/>
              <w:left w:w="120" w:type="dxa"/>
              <w:right w:w="120" w:type="dxa"/>
            </w:tcMar>
          </w:tcPr>
          <w:p>
            <w:pPr>
              <w:jc w:val="left"/>
            </w:pPr>
            <w:r>
              <w:rPr>
                <w:rFonts w:ascii="Calibri" w:hAnsi="Calibri"/>
                <w:b/>
                <w:color w:val="FFFFFF"/>
                <w:sz w:val="19"/>
              </w:rPr>
              <w:t>Applied Preprocessing Treatment</w:t>
            </w:r>
          </w:p>
        </w:tc>
      </w:tr>
      <w:tr>
        <w:tc>
          <w:tcPr>
            <w:tcW w:type="dxa" w:w="2340"/>
            <w:shd w:fill="FFFFFF"/>
            <w:tcMar>
              <w:top w:w="80" w:type="dxa"/>
              <w:bottom w:w="80" w:type="dxa"/>
              <w:left w:w="100" w:type="dxa"/>
              <w:right w:w="100" w:type="dxa"/>
            </w:tcMar>
          </w:tcPr>
          <w:p>
            <w:pPr>
              <w:jc w:val="left"/>
            </w:pPr>
            <w:r>
              <w:rPr>
                <w:rFonts w:ascii="Calibri" w:hAnsi="Calibri"/>
                <w:b/>
                <w:color w:val="282828"/>
                <w:sz w:val="18"/>
              </w:rPr>
              <w:t>Platform</w:t>
            </w:r>
          </w:p>
        </w:tc>
        <w:tc>
          <w:tcPr>
            <w:tcW w:type="dxa" w:w="2340"/>
            <w:shd w:fill="FFFFFF"/>
            <w:tcMar>
              <w:top w:w="80" w:type="dxa"/>
              <w:bottom w:w="80" w:type="dxa"/>
              <w:left w:w="100" w:type="dxa"/>
              <w:right w:w="100" w:type="dxa"/>
            </w:tcMar>
          </w:tcPr>
          <w:p>
            <w:pPr>
              <w:jc w:val="left"/>
            </w:pPr>
            <w:r>
              <w:rPr>
                <w:rFonts w:ascii="Calibri" w:hAnsi="Calibri"/>
                <w:color w:val="282828"/>
                <w:sz w:val="18"/>
              </w:rPr>
              <w:t>String (Object)</w:t>
            </w:r>
          </w:p>
        </w:tc>
        <w:tc>
          <w:tcPr>
            <w:tcW w:type="dxa" w:w="2340"/>
            <w:shd w:fill="FFFFFF"/>
            <w:tcMar>
              <w:top w:w="80" w:type="dxa"/>
              <w:bottom w:w="80" w:type="dxa"/>
              <w:left w:w="100" w:type="dxa"/>
              <w:right w:w="100" w:type="dxa"/>
            </w:tcMar>
          </w:tcPr>
          <w:p>
            <w:pPr>
              <w:jc w:val="left"/>
            </w:pPr>
            <w:r>
              <w:rPr>
                <w:rFonts w:ascii="Calibri" w:hAnsi="Calibri"/>
                <w:color w:val="282828"/>
                <w:sz w:val="18"/>
              </w:rPr>
              <w:t>Categorical Input</w:t>
            </w:r>
          </w:p>
        </w:tc>
        <w:tc>
          <w:tcPr>
            <w:tcW w:type="dxa" w:w="2340"/>
            <w:shd w:fill="FFFFFF"/>
            <w:tcMar>
              <w:top w:w="80" w:type="dxa"/>
              <w:bottom w:w="80" w:type="dxa"/>
              <w:left w:w="100" w:type="dxa"/>
              <w:right w:w="100" w:type="dxa"/>
            </w:tcMar>
          </w:tcPr>
          <w:p>
            <w:pPr>
              <w:jc w:val="left"/>
            </w:pPr>
            <w:r>
              <w:rPr>
                <w:rFonts w:ascii="Calibri" w:hAnsi="Calibri"/>
                <w:color w:val="282828"/>
                <w:sz w:val="18"/>
              </w:rPr>
              <w:t>Filtered to top modern hardware; OneHotEncoded with sparse_output=False</w:t>
            </w:r>
          </w:p>
        </w:tc>
      </w:tr>
      <w:tr>
        <w:tc>
          <w:tcPr>
            <w:tcW w:type="dxa" w:w="2340"/>
            <w:shd w:fill="F8FAFC"/>
            <w:tcMar>
              <w:top w:w="80" w:type="dxa"/>
              <w:bottom w:w="80" w:type="dxa"/>
              <w:left w:w="100" w:type="dxa"/>
              <w:right w:w="100" w:type="dxa"/>
            </w:tcMar>
          </w:tcPr>
          <w:p>
            <w:pPr>
              <w:jc w:val="left"/>
            </w:pPr>
            <w:r>
              <w:rPr>
                <w:rFonts w:ascii="Calibri" w:hAnsi="Calibri"/>
                <w:b/>
                <w:color w:val="282828"/>
                <w:sz w:val="18"/>
              </w:rPr>
              <w:t>Genre</w:t>
            </w:r>
          </w:p>
        </w:tc>
        <w:tc>
          <w:tcPr>
            <w:tcW w:type="dxa" w:w="2340"/>
            <w:shd w:fill="F8FAFC"/>
            <w:tcMar>
              <w:top w:w="80" w:type="dxa"/>
              <w:bottom w:w="80" w:type="dxa"/>
              <w:left w:w="100" w:type="dxa"/>
              <w:right w:w="100" w:type="dxa"/>
            </w:tcMar>
          </w:tcPr>
          <w:p>
            <w:pPr>
              <w:jc w:val="left"/>
            </w:pPr>
            <w:r>
              <w:rPr>
                <w:rFonts w:ascii="Calibri" w:hAnsi="Calibri"/>
                <w:color w:val="282828"/>
                <w:sz w:val="18"/>
              </w:rPr>
              <w:t>String (Object)</w:t>
            </w:r>
          </w:p>
        </w:tc>
        <w:tc>
          <w:tcPr>
            <w:tcW w:type="dxa" w:w="2340"/>
            <w:shd w:fill="F8FAFC"/>
            <w:tcMar>
              <w:top w:w="80" w:type="dxa"/>
              <w:bottom w:w="80" w:type="dxa"/>
              <w:left w:w="100" w:type="dxa"/>
              <w:right w:w="100" w:type="dxa"/>
            </w:tcMar>
          </w:tcPr>
          <w:p>
            <w:pPr>
              <w:jc w:val="left"/>
            </w:pPr>
            <w:r>
              <w:rPr>
                <w:rFonts w:ascii="Calibri" w:hAnsi="Calibri"/>
                <w:color w:val="282828"/>
                <w:sz w:val="18"/>
              </w:rPr>
              <w:t>Categorical Input</w:t>
            </w:r>
          </w:p>
        </w:tc>
        <w:tc>
          <w:tcPr>
            <w:tcW w:type="dxa" w:w="2340"/>
            <w:shd w:fill="F8FAFC"/>
            <w:tcMar>
              <w:top w:w="80" w:type="dxa"/>
              <w:bottom w:w="80" w:type="dxa"/>
              <w:left w:w="100" w:type="dxa"/>
              <w:right w:w="100" w:type="dxa"/>
            </w:tcMar>
          </w:tcPr>
          <w:p>
            <w:pPr>
              <w:jc w:val="left"/>
            </w:pPr>
            <w:r>
              <w:rPr>
                <w:rFonts w:ascii="Calibri" w:hAnsi="Calibri"/>
                <w:color w:val="282828"/>
                <w:sz w:val="18"/>
              </w:rPr>
              <w:t>Preserved 12 standard genres; OneHotEncoded with handle_unknown='ignore'</w:t>
            </w:r>
          </w:p>
        </w:tc>
      </w:tr>
      <w:tr>
        <w:tc>
          <w:tcPr>
            <w:tcW w:type="dxa" w:w="2340"/>
            <w:shd w:fill="FFFFFF"/>
            <w:tcMar>
              <w:top w:w="80" w:type="dxa"/>
              <w:bottom w:w="80" w:type="dxa"/>
              <w:left w:w="100" w:type="dxa"/>
              <w:right w:w="100" w:type="dxa"/>
            </w:tcMar>
          </w:tcPr>
          <w:p>
            <w:pPr>
              <w:jc w:val="left"/>
            </w:pPr>
            <w:r>
              <w:rPr>
                <w:rFonts w:ascii="Calibri" w:hAnsi="Calibri"/>
                <w:b/>
                <w:color w:val="282828"/>
                <w:sz w:val="18"/>
              </w:rPr>
              <w:t>Critic_Score</w:t>
            </w:r>
          </w:p>
        </w:tc>
        <w:tc>
          <w:tcPr>
            <w:tcW w:type="dxa" w:w="2340"/>
            <w:shd w:fill="FFFFFF"/>
            <w:tcMar>
              <w:top w:w="80" w:type="dxa"/>
              <w:bottom w:w="80" w:type="dxa"/>
              <w:left w:w="100" w:type="dxa"/>
              <w:right w:w="100" w:type="dxa"/>
            </w:tcMar>
          </w:tcPr>
          <w:p>
            <w:pPr>
              <w:jc w:val="left"/>
            </w:pPr>
            <w:r>
              <w:rPr>
                <w:rFonts w:ascii="Calibri" w:hAnsi="Calibri"/>
                <w:color w:val="282828"/>
                <w:sz w:val="18"/>
              </w:rPr>
              <w:t>Numeric (Float)</w:t>
            </w:r>
          </w:p>
        </w:tc>
        <w:tc>
          <w:tcPr>
            <w:tcW w:type="dxa" w:w="2340"/>
            <w:shd w:fill="FFFFFF"/>
            <w:tcMar>
              <w:top w:w="80" w:type="dxa"/>
              <w:bottom w:w="80" w:type="dxa"/>
              <w:left w:w="100" w:type="dxa"/>
              <w:right w:w="100" w:type="dxa"/>
            </w:tcMar>
          </w:tcPr>
          <w:p>
            <w:pPr>
              <w:jc w:val="left"/>
            </w:pPr>
            <w:r>
              <w:rPr>
                <w:rFonts w:ascii="Calibri" w:hAnsi="Calibri"/>
                <w:color w:val="282828"/>
                <w:sz w:val="18"/>
              </w:rPr>
              <w:t>Primary Predictor</w:t>
            </w:r>
          </w:p>
        </w:tc>
        <w:tc>
          <w:tcPr>
            <w:tcW w:type="dxa" w:w="2340"/>
            <w:shd w:fill="FFFFFF"/>
            <w:tcMar>
              <w:top w:w="80" w:type="dxa"/>
              <w:bottom w:w="80" w:type="dxa"/>
              <w:left w:w="100" w:type="dxa"/>
              <w:right w:w="100" w:type="dxa"/>
            </w:tcMar>
          </w:tcPr>
          <w:p>
            <w:pPr>
              <w:jc w:val="left"/>
            </w:pPr>
            <w:r>
              <w:rPr>
                <w:rFonts w:ascii="Calibri" w:hAnsi="Calibri"/>
                <w:color w:val="282828"/>
                <w:sz w:val="18"/>
              </w:rPr>
              <w:t>Imputed missing values via robust median (71.0); StandardScaled</w:t>
            </w:r>
          </w:p>
        </w:tc>
      </w:tr>
      <w:tr>
        <w:tc>
          <w:tcPr>
            <w:tcW w:type="dxa" w:w="2340"/>
            <w:shd w:fill="F8FAFC"/>
            <w:tcMar>
              <w:top w:w="80" w:type="dxa"/>
              <w:bottom w:w="80" w:type="dxa"/>
              <w:left w:w="100" w:type="dxa"/>
              <w:right w:w="100" w:type="dxa"/>
            </w:tcMar>
          </w:tcPr>
          <w:p>
            <w:pPr>
              <w:jc w:val="left"/>
            </w:pPr>
            <w:r>
              <w:rPr>
                <w:rFonts w:ascii="Calibri" w:hAnsi="Calibri"/>
                <w:b/>
                <w:color w:val="282828"/>
                <w:sz w:val="18"/>
              </w:rPr>
              <w:t>User_Score</w:t>
            </w:r>
          </w:p>
        </w:tc>
        <w:tc>
          <w:tcPr>
            <w:tcW w:type="dxa" w:w="2340"/>
            <w:shd w:fill="F8FAFC"/>
            <w:tcMar>
              <w:top w:w="80" w:type="dxa"/>
              <w:bottom w:w="80" w:type="dxa"/>
              <w:left w:w="100" w:type="dxa"/>
              <w:right w:w="100" w:type="dxa"/>
            </w:tcMar>
          </w:tcPr>
          <w:p>
            <w:pPr>
              <w:jc w:val="left"/>
            </w:pPr>
            <w:r>
              <w:rPr>
                <w:rFonts w:ascii="Calibri" w:hAnsi="Calibri"/>
                <w:color w:val="282828"/>
                <w:sz w:val="18"/>
              </w:rPr>
              <w:t>String ('tbd', NaN)</w:t>
            </w:r>
          </w:p>
        </w:tc>
        <w:tc>
          <w:tcPr>
            <w:tcW w:type="dxa" w:w="2340"/>
            <w:shd w:fill="F8FAFC"/>
            <w:tcMar>
              <w:top w:w="80" w:type="dxa"/>
              <w:bottom w:w="80" w:type="dxa"/>
              <w:left w:w="100" w:type="dxa"/>
              <w:right w:w="100" w:type="dxa"/>
            </w:tcMar>
          </w:tcPr>
          <w:p>
            <w:pPr>
              <w:jc w:val="left"/>
            </w:pPr>
            <w:r>
              <w:rPr>
                <w:rFonts w:ascii="Calibri" w:hAnsi="Calibri"/>
                <w:color w:val="282828"/>
                <w:sz w:val="18"/>
              </w:rPr>
              <w:t>Secondary Predictor</w:t>
            </w:r>
          </w:p>
        </w:tc>
        <w:tc>
          <w:tcPr>
            <w:tcW w:type="dxa" w:w="2340"/>
            <w:shd w:fill="F8FAFC"/>
            <w:tcMar>
              <w:top w:w="80" w:type="dxa"/>
              <w:bottom w:w="80" w:type="dxa"/>
              <w:left w:w="100" w:type="dxa"/>
              <w:right w:w="100" w:type="dxa"/>
            </w:tcMar>
          </w:tcPr>
          <w:p>
            <w:pPr>
              <w:jc w:val="left"/>
            </w:pPr>
            <w:r>
              <w:rPr>
                <w:rFonts w:ascii="Calibri" w:hAnsi="Calibri"/>
                <w:color w:val="282828"/>
                <w:sz w:val="18"/>
              </w:rPr>
              <w:t>Coerced 'tbd' to NaN; cast to Float; median imputed (7.2); scaled x10</w:t>
            </w:r>
          </w:p>
        </w:tc>
      </w:tr>
      <w:tr>
        <w:tc>
          <w:tcPr>
            <w:tcW w:type="dxa" w:w="2340"/>
            <w:shd w:fill="FFFFFF"/>
            <w:tcMar>
              <w:top w:w="80" w:type="dxa"/>
              <w:bottom w:w="80" w:type="dxa"/>
              <w:left w:w="100" w:type="dxa"/>
              <w:right w:w="100" w:type="dxa"/>
            </w:tcMar>
          </w:tcPr>
          <w:p>
            <w:pPr>
              <w:jc w:val="left"/>
            </w:pPr>
            <w:r>
              <w:rPr>
                <w:rFonts w:ascii="Calibri" w:hAnsi="Calibri"/>
                <w:b/>
                <w:color w:val="282828"/>
                <w:sz w:val="18"/>
              </w:rPr>
              <w:t>Blended_Score</w:t>
            </w:r>
          </w:p>
        </w:tc>
        <w:tc>
          <w:tcPr>
            <w:tcW w:type="dxa" w:w="2340"/>
            <w:shd w:fill="FFFFFF"/>
            <w:tcMar>
              <w:top w:w="80" w:type="dxa"/>
              <w:bottom w:w="80" w:type="dxa"/>
              <w:left w:w="100" w:type="dxa"/>
              <w:right w:w="100" w:type="dxa"/>
            </w:tcMar>
          </w:tcPr>
          <w:p>
            <w:pPr>
              <w:jc w:val="left"/>
            </w:pPr>
            <w:r>
              <w:rPr>
                <w:rFonts w:ascii="Calibri" w:hAnsi="Calibri"/>
                <w:color w:val="282828"/>
                <w:sz w:val="18"/>
              </w:rPr>
              <w:t>Derived Numeric</w:t>
            </w:r>
          </w:p>
        </w:tc>
        <w:tc>
          <w:tcPr>
            <w:tcW w:type="dxa" w:w="2340"/>
            <w:shd w:fill="FFFFFF"/>
            <w:tcMar>
              <w:top w:w="80" w:type="dxa"/>
              <w:bottom w:w="80" w:type="dxa"/>
              <w:left w:w="100" w:type="dxa"/>
              <w:right w:w="100" w:type="dxa"/>
            </w:tcMar>
          </w:tcPr>
          <w:p>
            <w:pPr>
              <w:jc w:val="left"/>
            </w:pPr>
            <w:r>
              <w:rPr>
                <w:rFonts w:ascii="Calibri" w:hAnsi="Calibri"/>
                <w:color w:val="282828"/>
                <w:sz w:val="18"/>
              </w:rPr>
              <w:t>Composite Quality</w:t>
            </w:r>
          </w:p>
        </w:tc>
        <w:tc>
          <w:tcPr>
            <w:tcW w:type="dxa" w:w="2340"/>
            <w:shd w:fill="FFFFFF"/>
            <w:tcMar>
              <w:top w:w="80" w:type="dxa"/>
              <w:bottom w:w="80" w:type="dxa"/>
              <w:left w:w="100" w:type="dxa"/>
              <w:right w:w="100" w:type="dxa"/>
            </w:tcMar>
          </w:tcPr>
          <w:p>
            <w:pPr>
              <w:jc w:val="left"/>
            </w:pPr>
            <w:r>
              <w:rPr>
                <w:rFonts w:ascii="Calibri" w:hAnsi="Calibri"/>
                <w:color w:val="282828"/>
                <w:sz w:val="18"/>
              </w:rPr>
              <w:t>Engineered weighted feature: 0.75 * Critic + 0.25 * (User * 10); StandardScaled</w:t>
            </w:r>
          </w:p>
        </w:tc>
      </w:tr>
      <w:tr>
        <w:tc>
          <w:tcPr>
            <w:tcW w:type="dxa" w:w="2340"/>
            <w:shd w:fill="F8FAFC"/>
            <w:tcMar>
              <w:top w:w="80" w:type="dxa"/>
              <w:bottom w:w="80" w:type="dxa"/>
              <w:left w:w="100" w:type="dxa"/>
              <w:right w:w="100" w:type="dxa"/>
            </w:tcMar>
          </w:tcPr>
          <w:p>
            <w:pPr>
              <w:jc w:val="left"/>
            </w:pPr>
            <w:r>
              <w:rPr>
                <w:rFonts w:ascii="Calibri" w:hAnsi="Calibri"/>
                <w:b/>
                <w:color w:val="282828"/>
                <w:sz w:val="18"/>
              </w:rPr>
              <w:t>Regional Sales</w:t>
            </w:r>
          </w:p>
        </w:tc>
        <w:tc>
          <w:tcPr>
            <w:tcW w:type="dxa" w:w="2340"/>
            <w:shd w:fill="F8FAFC"/>
            <w:tcMar>
              <w:top w:w="80" w:type="dxa"/>
              <w:bottom w:w="80" w:type="dxa"/>
              <w:left w:w="100" w:type="dxa"/>
              <w:right w:w="100" w:type="dxa"/>
            </w:tcMar>
          </w:tcPr>
          <w:p>
            <w:pPr>
              <w:jc w:val="left"/>
            </w:pPr>
            <w:r>
              <w:rPr>
                <w:rFonts w:ascii="Calibri" w:hAnsi="Calibri"/>
                <w:color w:val="282828"/>
                <w:sz w:val="18"/>
              </w:rPr>
              <w:t>Numeric (Float)</w:t>
            </w:r>
          </w:p>
        </w:tc>
        <w:tc>
          <w:tcPr>
            <w:tcW w:type="dxa" w:w="2340"/>
            <w:shd w:fill="F8FAFC"/>
            <w:tcMar>
              <w:top w:w="80" w:type="dxa"/>
              <w:bottom w:w="80" w:type="dxa"/>
              <w:left w:w="100" w:type="dxa"/>
              <w:right w:w="100" w:type="dxa"/>
            </w:tcMar>
          </w:tcPr>
          <w:p>
            <w:pPr>
              <w:jc w:val="left"/>
            </w:pPr>
            <w:r>
              <w:rPr>
                <w:rFonts w:ascii="Calibri" w:hAnsi="Calibri"/>
                <w:color w:val="282828"/>
                <w:sz w:val="18"/>
              </w:rPr>
              <w:t>Analytical Target</w:t>
            </w:r>
          </w:p>
        </w:tc>
        <w:tc>
          <w:tcPr>
            <w:tcW w:type="dxa" w:w="2340"/>
            <w:shd w:fill="F8FAFC"/>
            <w:tcMar>
              <w:top w:w="80" w:type="dxa"/>
              <w:bottom w:w="80" w:type="dxa"/>
              <w:left w:w="100" w:type="dxa"/>
              <w:right w:w="100" w:type="dxa"/>
            </w:tcMar>
          </w:tcPr>
          <w:p>
            <w:pPr>
              <w:jc w:val="left"/>
            </w:pPr>
            <w:r>
              <w:rPr>
                <w:rFonts w:ascii="Calibri" w:hAnsi="Calibri"/>
                <w:color w:val="282828"/>
                <w:sz w:val="18"/>
              </w:rPr>
              <w:t>Extracted NA, EU, JP, Other sales to compute empirical territorial ratios</w:t>
            </w:r>
          </w:p>
        </w:tc>
      </w:tr>
      <w:tr>
        <w:tc>
          <w:tcPr>
            <w:tcW w:type="dxa" w:w="2340"/>
            <w:shd w:fill="FFFFFF"/>
            <w:tcMar>
              <w:top w:w="80" w:type="dxa"/>
              <w:bottom w:w="80" w:type="dxa"/>
              <w:left w:w="100" w:type="dxa"/>
              <w:right w:w="100" w:type="dxa"/>
            </w:tcMar>
          </w:tcPr>
          <w:p>
            <w:pPr>
              <w:jc w:val="left"/>
            </w:pPr>
            <w:r>
              <w:rPr>
                <w:rFonts w:ascii="Calibri" w:hAnsi="Calibri"/>
                <w:b/>
                <w:color w:val="282828"/>
                <w:sz w:val="18"/>
              </w:rPr>
              <w:t>Global_Sales</w:t>
            </w:r>
          </w:p>
        </w:tc>
        <w:tc>
          <w:tcPr>
            <w:tcW w:type="dxa" w:w="2340"/>
            <w:shd w:fill="FFFFFF"/>
            <w:tcMar>
              <w:top w:w="80" w:type="dxa"/>
              <w:bottom w:w="80" w:type="dxa"/>
              <w:left w:w="100" w:type="dxa"/>
              <w:right w:w="100" w:type="dxa"/>
            </w:tcMar>
          </w:tcPr>
          <w:p>
            <w:pPr>
              <w:jc w:val="left"/>
            </w:pPr>
            <w:r>
              <w:rPr>
                <w:rFonts w:ascii="Calibri" w:hAnsi="Calibri"/>
                <w:color w:val="282828"/>
                <w:sz w:val="18"/>
              </w:rPr>
              <w:t>Numeric (Float)</w:t>
            </w:r>
          </w:p>
        </w:tc>
        <w:tc>
          <w:tcPr>
            <w:tcW w:type="dxa" w:w="2340"/>
            <w:shd w:fill="FFFFFF"/>
            <w:tcMar>
              <w:top w:w="80" w:type="dxa"/>
              <w:bottom w:w="80" w:type="dxa"/>
              <w:left w:w="100" w:type="dxa"/>
              <w:right w:w="100" w:type="dxa"/>
            </w:tcMar>
          </w:tcPr>
          <w:p>
            <w:pPr>
              <w:jc w:val="left"/>
            </w:pPr>
            <w:r>
              <w:rPr>
                <w:rFonts w:ascii="Calibri" w:hAnsi="Calibri"/>
                <w:color w:val="282828"/>
                <w:sz w:val="18"/>
              </w:rPr>
              <w:t>Supervised Target</w:t>
            </w:r>
          </w:p>
        </w:tc>
        <w:tc>
          <w:tcPr>
            <w:tcW w:type="dxa" w:w="2340"/>
            <w:shd w:fill="FFFFFF"/>
            <w:tcMar>
              <w:top w:w="80" w:type="dxa"/>
              <w:bottom w:w="80" w:type="dxa"/>
              <w:left w:w="100" w:type="dxa"/>
              <w:right w:w="100" w:type="dxa"/>
            </w:tcMar>
          </w:tcPr>
          <w:p>
            <w:pPr>
              <w:jc w:val="left"/>
            </w:pPr>
            <w:r>
              <w:rPr>
                <w:rFonts w:ascii="Calibri" w:hAnsi="Calibri"/>
                <w:color w:val="282828"/>
                <w:sz w:val="18"/>
              </w:rPr>
              <w:t>Continuous prediction variable (Millions of units); records with nulls dropped</w:t>
            </w:r>
          </w:p>
        </w:tc>
      </w:tr>
    </w:tbl>
    <w:p>
      <w:pPr>
        <w:spacing w:after="160"/>
      </w:pPr>
    </w:p>
    <w:p>
      <w:pPr>
        <w:pStyle w:val="Heading2"/>
        <w:keepNext/>
        <w:spacing w:before="240" w:after="80"/>
      </w:pPr>
      <w:r>
        <w:rPr>
          <w:rFonts w:ascii="Calibri" w:hAnsi="Calibri"/>
          <w:b/>
          <w:color w:val="2E75B6"/>
          <w:sz w:val="26"/>
        </w:rPr>
        <w:t>2.2 Data Hygiene &amp; Imputation Strategies</w:t>
      </w:r>
    </w:p>
    <w:p>
      <w:pPr>
        <w:spacing w:line="276" w:lineRule="auto" w:after="120"/>
      </w:pPr>
      <w:r>
        <w:rPr>
          <w:rFonts w:ascii="Calibri" w:hAnsi="Calibri"/>
          <w:b/>
          <w:color w:val="1F4E79"/>
          <w:sz w:val="21"/>
        </w:rPr>
        <w:t xml:space="preserve">Preprocessing Pipeline: </w:t>
      </w:r>
      <w:r>
        <w:rPr>
          <w:rFonts w:ascii="Calibri" w:hAnsi="Calibri"/>
          <w:color w:val="282828"/>
          <w:sz w:val="21"/>
        </w:rPr>
        <w:t>Supervised machine learning algorithms are exceptionally sensitive to missingness artifacts and categorical fragmentation. A rigorous multi-phase cleaning protocol was implemented within the automated ingestion pipeline:</w:t>
      </w:r>
    </w:p>
    <w:p>
      <w:pPr>
        <w:pStyle w:val="ListBullet"/>
        <w:spacing w:line="276" w:lineRule="auto" w:after="60"/>
      </w:pPr>
      <w:r>
        <w:rPr>
          <w:rFonts w:ascii="Calibri" w:hAnsi="Calibri"/>
          <w:b/>
          <w:color w:val="1F4E79"/>
        </w:rPr>
        <w:t xml:space="preserve">Target Integrity Enforcement: </w:t>
      </w:r>
      <w:r>
        <w:rPr>
          <w:rFonts w:ascii="Calibri" w:hAnsi="Calibri"/>
          <w:color w:val="282828"/>
        </w:rPr>
        <w:t>Any record lacking 'Global_Sales', 'Platform', or 'Genre' was removed immediately. Only two raw records in the entire dataset contained unresolvable null targets, resulting in zero statistical loss.</w:t>
      </w:r>
    </w:p>
    <w:p>
      <w:pPr>
        <w:pStyle w:val="ListBullet"/>
        <w:spacing w:line="276" w:lineRule="auto" w:after="60"/>
      </w:pPr>
      <w:r>
        <w:rPr>
          <w:rFonts w:ascii="Calibri" w:hAnsi="Calibri"/>
          <w:b/>
          <w:color w:val="1F4E79"/>
        </w:rPr>
        <w:t xml:space="preserve">User Review Normalization: </w:t>
      </w:r>
      <w:r>
        <w:rPr>
          <w:rFonts w:ascii="Calibri" w:hAnsi="Calibri"/>
          <w:color w:val="282828"/>
        </w:rPr>
        <w:t>In the raw dataset, the 'User_Score' column contained arbitrary string values representing 'tbd' (to be determined) alongside standard floats. These strings were systematically coerced to NaN, allowing clean conversion into 32-bit floating-point values.</w:t>
      </w:r>
    </w:p>
    <w:p>
      <w:pPr>
        <w:pStyle w:val="ListBullet"/>
        <w:spacing w:line="276" w:lineRule="auto" w:after="60"/>
      </w:pPr>
      <w:r>
        <w:rPr>
          <w:rFonts w:ascii="Calibri" w:hAnsi="Calibri"/>
          <w:b/>
          <w:color w:val="1F4E79"/>
        </w:rPr>
        <w:t xml:space="preserve">Robust Central Tendency Imputation: </w:t>
      </w:r>
      <w:r>
        <w:rPr>
          <w:rFonts w:ascii="Calibri" w:hAnsi="Calibri"/>
          <w:color w:val="282828"/>
        </w:rPr>
        <w:t>Over 50% of legacy titles lacked recorded Metacritic reviews. Rather than employing mean imputation—which is heavily skewed by extreme review scores—the pipeline implements median imputation. The dataset median critic score was established at 71.0, and the median user score was established at 7.2 (72.0 on a 100-point scale), providing a neutral, non-distorting baseline.</w:t>
      </w:r>
    </w:p>
    <w:p>
      <w:pPr>
        <w:pStyle w:val="ListBullet"/>
        <w:spacing w:line="276" w:lineRule="auto" w:after="60"/>
      </w:pPr>
      <w:r>
        <w:rPr>
          <w:rFonts w:ascii="Calibri" w:hAnsi="Calibri"/>
          <w:b/>
          <w:color w:val="1F4E79"/>
        </w:rPr>
        <w:t xml:space="preserve">Platform Cardinality Reduction: </w:t>
      </w:r>
      <w:r>
        <w:rPr>
          <w:rFonts w:ascii="Calibri" w:hAnsi="Calibri"/>
          <w:color w:val="282828"/>
        </w:rPr>
        <w:t>The historical dataset spans obsolete hardware extending back to the Atari 2600. To prevent excessive high-cardinality one-hot explosion and focus inference on commercially relevant distribution channels, the dataset was constrained to major modern/standard platforms: PS4, PS3, Xbox 360, Xbox One, PC, Nintendo Wii, Nintendo DS, and Nintendo 3DS (aggregating 8,199 curated commercial releases).</w:t>
      </w:r>
    </w:p>
    <w:p>
      <w:pPr>
        <w:pStyle w:val="Heading2"/>
        <w:keepNext/>
        <w:spacing w:before="240" w:after="80"/>
      </w:pPr>
      <w:r>
        <w:rPr>
          <w:rFonts w:ascii="Calibri" w:hAnsi="Calibri"/>
          <w:b/>
          <w:color w:val="2E75B6"/>
          <w:sz w:val="26"/>
        </w:rPr>
        <w:t>2.3 Feature Engineering: Composite Blended Score</w:t>
      </w:r>
    </w:p>
    <w:p>
      <w:pPr>
        <w:spacing w:line="276" w:lineRule="auto" w:after="120"/>
      </w:pPr>
      <w:r>
        <w:rPr>
          <w:rFonts w:ascii="Calibri" w:hAnsi="Calibri"/>
          <w:color w:val="282828"/>
          <w:sz w:val="21"/>
        </w:rPr>
        <w:t>In interactive entertainment marketing literature, institutional critic reviews and public community ratings exhibit divergent statistical behaviors. Professional critic reviews (Metascores) are published prior to launch and exert direct causal influence on initial pre-orders and retailer purchase commitments. In contrast, post-launch user review scores are noisy, subject to ideological polarization, and afflicted by severe sample-size disparities (e.g., obscure indie games with three ratings of 10.0 versus AAA titles with 10,000 angry players giving 2.0). To resolve this dissonance, a domain-weighted composite feature was engineered:</w:t>
      </w:r>
    </w:p>
    <w:p>
      <w:pPr>
        <w:spacing w:before="120" w:after="160"/>
        <w:jc w:val="center"/>
      </w:pPr>
      <w:r>
        <w:rPr>
          <w:rFonts w:ascii="Consolas" w:hAnsi="Consolas"/>
          <w:b/>
          <w:color w:val="1F4E79"/>
          <w:sz w:val="22"/>
        </w:rPr>
        <w:t>Blended_Score = (0.75 * Critic_Score) + (0.25 * (User_Score * 10.0))</w:t>
      </w:r>
    </w:p>
    <w:p>
      <w:pPr>
        <w:spacing w:line="276" w:lineRule="auto" w:after="120"/>
      </w:pPr>
      <w:r>
        <w:rPr>
          <w:rFonts w:ascii="Calibri" w:hAnsi="Calibri"/>
          <w:color w:val="282828"/>
          <w:sz w:val="21"/>
        </w:rPr>
        <w:t>This formula anchors 75% of the quality signal to institutional criticism while scaling the user score to a commensurate 100-point base at 25% weighting. This structural formulation preserves user sentiment signal while dampening online review-bombing variance by 75%.</w:t>
      </w:r>
    </w:p>
    <w:p>
      <w:pPr>
        <w:pStyle w:val="Heading1"/>
        <w:keepNext/>
        <w:spacing w:before="360" w:after="120"/>
      </w:pPr>
      <w:r>
        <w:rPr>
          <w:rFonts w:ascii="Calibri" w:hAnsi="Calibri"/>
          <w:b/>
          <w:color w:val="1F4E79"/>
          <w:sz w:val="32"/>
        </w:rPr>
        <w:t>3. Machine Learning Methodology</w:t>
      </w:r>
    </w:p>
    <w:p>
      <w:pPr>
        <w:pStyle w:val="Heading2"/>
        <w:keepNext/>
        <w:spacing w:before="240" w:after="80"/>
      </w:pPr>
      <w:r>
        <w:rPr>
          <w:rFonts w:ascii="Calibri" w:hAnsi="Calibri"/>
          <w:b/>
          <w:color w:val="2E75B6"/>
          <w:sz w:val="26"/>
        </w:rPr>
        <w:t>3.1 Preprocessing &amp; Architectural Pipeline</w:t>
      </w:r>
    </w:p>
    <w:p>
      <w:pPr>
        <w:spacing w:line="276" w:lineRule="auto" w:after="120"/>
      </w:pPr>
      <w:r>
        <w:rPr>
          <w:rFonts w:ascii="Calibri" w:hAnsi="Calibri"/>
          <w:color w:val="282828"/>
          <w:sz w:val="21"/>
        </w:rPr>
        <w:t>To guarantee zero data leakage and seamless deployment, all transformation steps are orchestrated inside a Scikit-learn Pipeline governed by a ColumnTransformer. Categorical hardware platforms and game genres are processed via OneHotEncoder(handle_unknown='ignore', sparse_output=False), while the continuous Blended_Score is normalized using StandardScaler. This guarantees that unseen platform/genre combinations encountered during inference are handled gracefully without runtime exceptions.</w:t>
      </w:r>
    </w:p>
    <w:p>
      <w:pPr>
        <w:pStyle w:val="Heading2"/>
        <w:keepNext/>
        <w:spacing w:before="240" w:after="80"/>
      </w:pPr>
      <w:r>
        <w:rPr>
          <w:rFonts w:ascii="Calibri" w:hAnsi="Calibri"/>
          <w:b/>
          <w:color w:val="2E75B6"/>
          <w:sz w:val="26"/>
        </w:rPr>
        <w:t>3.2 The 'Review-Bombing Inversion Trap' &amp; Algorithm Justification</w:t>
      </w:r>
    </w:p>
    <w:p>
      <w:pPr>
        <w:spacing w:line="276" w:lineRule="auto" w:after="120"/>
      </w:pPr>
      <w:r>
        <w:rPr>
          <w:rFonts w:ascii="Calibri" w:hAnsi="Calibri"/>
          <w:b/>
          <w:color w:val="1F4E79"/>
          <w:sz w:val="21"/>
        </w:rPr>
        <w:t xml:space="preserve">The Empirical Anomaly: </w:t>
      </w:r>
      <w:r>
        <w:rPr>
          <w:rFonts w:ascii="Calibri" w:hAnsi="Calibri"/>
          <w:color w:val="282828"/>
          <w:sz w:val="21"/>
        </w:rPr>
        <w:t>A critical finding during initial baseline modeling was the identification of a severe logical inversion in naive Decision Tree and unconstrained Random Forest models. When fed raw Critic_Score and User_Score as independent features:</w:t>
      </w:r>
    </w:p>
    <w:p>
      <w:pPr>
        <w:spacing w:line="276" w:lineRule="auto" w:after="120"/>
      </w:pPr>
      <w:r>
        <w:rPr>
          <w:rFonts w:ascii="Calibri" w:hAnsi="Calibri"/>
          <w:color w:val="282828"/>
          <w:sz w:val="21"/>
        </w:rPr>
        <w:t>Decreasing the User Score slider from 7.5 to 2.0 caused the model's predicted sales to dramatically inflate from $1.70M to $6.97M, whereas increasing the User Score to a perfect 10.0 caused predicted revenue to collapse to $0.20M. Mathematical diagnosis revealed that in the historical dataset, titles with User Scores below 4.0 were almost exclusively tier-1 AAA commercial blockbusters (e.g., Call of Duty, FIFA, Grand Theft Auto V) that were subjected to coordinated online protest voting. Conversely, titles with User Scores above 9.2 were disproportionately composed of obscure indie and retro releases with fewer than five total votes. Unconstrained decision trees split on User_Score &lt;= 3.5, isolating the mega-blockbusters in low-score leaf nodes and penalizing high-scoring games into niche leaves.</w:t>
      </w:r>
    </w:p>
    <w:p>
      <w:pPr>
        <w:spacing w:line="276" w:lineRule="auto" w:after="120"/>
      </w:pPr>
      <w:r>
        <w:rPr>
          <w:rFonts w:ascii="Calibri" w:hAnsi="Calibri"/>
          <w:b/>
          <w:color w:val="1F4E79"/>
          <w:sz w:val="21"/>
        </w:rPr>
        <w:t xml:space="preserve">Methodological Solution: </w:t>
      </w:r>
      <w:r>
        <w:rPr>
          <w:rFonts w:ascii="Calibri" w:hAnsi="Calibri"/>
          <w:color w:val="282828"/>
          <w:sz w:val="21"/>
        </w:rPr>
        <w:t>To rectify this structural distortion, the modeling architecture was re-engineered across three defensive tiers:</w:t>
      </w:r>
    </w:p>
    <w:p>
      <w:pPr>
        <w:pStyle w:val="ListBullet"/>
        <w:spacing w:line="276" w:lineRule="auto" w:after="60"/>
      </w:pPr>
      <w:r>
        <w:rPr>
          <w:rFonts w:ascii="Calibri" w:hAnsi="Calibri"/>
          <w:b/>
          <w:color w:val="1F4E79"/>
        </w:rPr>
        <w:t xml:space="preserve">Feature Synthesis: </w:t>
      </w:r>
      <w:r>
        <w:rPr>
          <w:rFonts w:ascii="Calibri" w:hAnsi="Calibri"/>
          <w:color w:val="282828"/>
        </w:rPr>
        <w:t>Condensing review signals into the composite Blended_Score removes the isolated User_Score split dimension entirely.</w:t>
      </w:r>
    </w:p>
    <w:p>
      <w:pPr>
        <w:pStyle w:val="ListBullet"/>
        <w:spacing w:line="276" w:lineRule="auto" w:after="60"/>
      </w:pPr>
      <w:r>
        <w:rPr>
          <w:rFonts w:ascii="Calibri" w:hAnsi="Calibri"/>
          <w:b/>
          <w:color w:val="1F4E79"/>
        </w:rPr>
        <w:t xml:space="preserve">Tree Regularization: </w:t>
      </w:r>
      <w:r>
        <w:rPr>
          <w:rFonts w:ascii="Calibri" w:hAnsi="Calibri"/>
          <w:color w:val="282828"/>
        </w:rPr>
        <w:t>Deploying a constrained RandomForestRegressor(n_estimators=100, max_depth=8, min_samples_leaf=5, random_state=42) prevents the ensemble from isolating individual outlier titles into microscopic leaf partitions, forcing splits to capture broad genre/hardware economic trends.</w:t>
      </w:r>
    </w:p>
    <w:p>
      <w:pPr>
        <w:pStyle w:val="ListBullet"/>
        <w:spacing w:line="276" w:lineRule="auto" w:after="60"/>
      </w:pPr>
      <w:r>
        <w:rPr>
          <w:rFonts w:ascii="Calibri" w:hAnsi="Calibri"/>
          <w:b/>
          <w:color w:val="1F4E79"/>
        </w:rPr>
        <w:t xml:space="preserve">Monotonic Calibration Envelope: </w:t>
      </w:r>
      <w:r>
        <w:rPr>
          <w:rFonts w:ascii="Calibri" w:hAnsi="Calibri"/>
          <w:color w:val="282828"/>
        </w:rPr>
        <w:t>Precomputing isotonic non-decreasing curves via cumulative maximum accumulation (np.maximum.accumulate) guarantees that higher review scores strictly maintain or increase sales projections, completely eradicating inversion artifacts.</w:t>
      </w:r>
    </w:p>
    <w:p>
      <w:pPr>
        <w:pStyle w:val="Heading2"/>
        <w:keepNext/>
        <w:spacing w:before="240" w:after="80"/>
      </w:pPr>
      <w:r>
        <w:rPr>
          <w:rFonts w:ascii="Calibri" w:hAnsi="Calibri"/>
          <w:b/>
          <w:color w:val="2E75B6"/>
          <w:sz w:val="26"/>
        </w:rPr>
        <w:t>3.3 Monotonic Logic Guardrail Formulation</w:t>
      </w:r>
    </w:p>
    <w:p>
      <w:pPr>
        <w:spacing w:line="276" w:lineRule="auto" w:after="120"/>
      </w:pPr>
      <w:r>
        <w:rPr>
          <w:rFonts w:ascii="Calibri" w:hAnsi="Calibri"/>
          <w:color w:val="282828"/>
          <w:sz w:val="21"/>
        </w:rPr>
        <w:t>In addition to algorithmic regularization, a deterministic economic guardrail was embedded into the prediction engine to guarantee that games possessing elite critical acclaim (Critic_Score &gt;= 88.0 and User_Score &gt;= 8.0, corresponding to Blended_Score &gt;= 86.0) are never categorized into sub-scale High Risk tiers. The guardrail implements a quality floor function:</w:t>
      </w:r>
    </w:p>
    <w:p>
      <w:pPr>
        <w:spacing w:before="80" w:after="120"/>
        <w:jc w:val="center"/>
      </w:pPr>
      <w:r>
        <w:rPr>
          <w:rFonts w:ascii="Consolas" w:hAnsi="Consolas"/>
          <w:b/>
          <w:color w:val="1F4E79"/>
          <w:sz w:val="20"/>
        </w:rPr>
        <w:t>Quality_Floor(b) = 2.05 + ((b - 86.0) / 14.0) * 2.50   [for b &gt;= 86.0]</w:t>
      </w:r>
    </w:p>
    <w:p>
      <w:pPr>
        <w:spacing w:line="276" w:lineRule="auto" w:after="120"/>
      </w:pPr>
      <w:r>
        <w:rPr>
          <w:rFonts w:ascii="Calibri" w:hAnsi="Calibri"/>
          <w:color w:val="282828"/>
          <w:sz w:val="21"/>
        </w:rPr>
        <w:t>This formula mathematically guarantees that any title achieving consensus acclaim is immediately allocated a base projection exceeding $2.05M (Potential Blockbuster tier), scaling dynamically up to $4.55M+ as review scores approach 100/100.</w:t>
      </w:r>
    </w:p>
    <w:p>
      <w:pPr>
        <w:pStyle w:val="Heading2"/>
        <w:keepNext/>
        <w:spacing w:before="240" w:after="80"/>
      </w:pPr>
      <w:r>
        <w:rPr>
          <w:rFonts w:ascii="Calibri" w:hAnsi="Calibri"/>
          <w:b/>
          <w:color w:val="2E75B6"/>
          <w:sz w:val="26"/>
        </w:rPr>
        <w:t>3.4 Model Evaluation &amp; Quantitative Metrics</w:t>
      </w:r>
    </w:p>
    <w:p>
      <w:pPr>
        <w:spacing w:line="276" w:lineRule="auto" w:after="120"/>
      </w:pPr>
      <w:r>
        <w:rPr>
          <w:rFonts w:ascii="Calibri" w:hAnsi="Calibri"/>
          <w:color w:val="282828"/>
          <w:sz w:val="21"/>
        </w:rPr>
        <w:t>Model performance was evaluated across an 80/20 train-test split utilizing standard regression criteria alongside industry-specific behavioral validation metrics.</w:t>
      </w:r>
    </w:p>
    <w:p>
      <w:pPr>
        <w:pStyle w:val="Heading3"/>
        <w:keepNext/>
        <w:spacing w:before="160" w:after="40"/>
      </w:pPr>
      <w:r>
        <w:rPr>
          <w:rFonts w:ascii="Calibri" w:hAnsi="Calibri"/>
          <w:b/>
          <w:color w:val="282828"/>
          <w:sz w:val="22"/>
        </w:rPr>
        <w:t>Table 2: Algorithmic Performance &amp; Monotonicity Comparison</w:t>
      </w:r>
    </w:p>
    <w:tbl>
      <w:tblPr>
        <w:tblW w:type="auto" w:w="0"/>
        <w:jc w:val="center"/>
        <w:tblLook w:firstColumn="1" w:firstRow="1" w:lastColumn="0" w:lastRow="0" w:noHBand="0" w:noVBand="1" w:val="04A0"/>
        <w:tblBorders>
          <w:top w:val="single" w:sz="4" w:space="0" w:color="CBD5E1"/>
          <w:bottom w:val="single" w:sz="6" w:space="0" w:color="1F4E79"/>
          <w:insideH w:val="single" w:sz="4" w:space="0" w:color="CBD5E1"/>
          <w:insideV w:val="none"/>
          <w:left w:val="none"/>
          <w:right w:val="none"/>
        </w:tblBorders>
      </w:tblPr>
      <w:tblGrid>
        <w:gridCol w:w="1872"/>
        <w:gridCol w:w="1872"/>
        <w:gridCol w:w="1872"/>
        <w:gridCol w:w="1872"/>
        <w:gridCol w:w="1872"/>
      </w:tblGrid>
      <w:tr>
        <w:tc>
          <w:tcPr>
            <w:tcW w:type="dxa" w:w="1872"/>
            <w:shd w:fill="1F4E79"/>
            <w:tcMar>
              <w:top w:w="100" w:type="dxa"/>
              <w:bottom w:w="100" w:type="dxa"/>
              <w:left w:w="100" w:type="dxa"/>
              <w:right w:w="100" w:type="dxa"/>
            </w:tcMar>
          </w:tcPr>
          <w:p>
            <w:pPr>
              <w:jc w:val="left"/>
            </w:pPr>
            <w:r>
              <w:rPr>
                <w:rFonts w:ascii="Calibri" w:hAnsi="Calibri"/>
                <w:b/>
                <w:color w:val="FFFFFF"/>
                <w:sz w:val="19"/>
              </w:rPr>
              <w:t>Algorithm Candidate</w:t>
            </w:r>
          </w:p>
        </w:tc>
        <w:tc>
          <w:tcPr>
            <w:tcW w:type="dxa" w:w="1872"/>
            <w:shd w:fill="1F4E79"/>
            <w:tcMar>
              <w:top w:w="100" w:type="dxa"/>
              <w:bottom w:w="100" w:type="dxa"/>
              <w:left w:w="100" w:type="dxa"/>
              <w:right w:w="100" w:type="dxa"/>
            </w:tcMar>
          </w:tcPr>
          <w:p>
            <w:pPr>
              <w:jc w:val="left"/>
            </w:pPr>
            <w:r>
              <w:rPr>
                <w:rFonts w:ascii="Calibri" w:hAnsi="Calibri"/>
                <w:b/>
                <w:color w:val="FFFFFF"/>
                <w:sz w:val="19"/>
              </w:rPr>
              <w:t>MAE ($M)</w:t>
            </w:r>
          </w:p>
        </w:tc>
        <w:tc>
          <w:tcPr>
            <w:tcW w:type="dxa" w:w="1872"/>
            <w:shd w:fill="1F4E79"/>
            <w:tcMar>
              <w:top w:w="100" w:type="dxa"/>
              <w:bottom w:w="100" w:type="dxa"/>
              <w:left w:w="100" w:type="dxa"/>
              <w:right w:w="100" w:type="dxa"/>
            </w:tcMar>
          </w:tcPr>
          <w:p>
            <w:pPr>
              <w:jc w:val="left"/>
            </w:pPr>
            <w:r>
              <w:rPr>
                <w:rFonts w:ascii="Calibri" w:hAnsi="Calibri"/>
                <w:b/>
                <w:color w:val="FFFFFF"/>
                <w:sz w:val="19"/>
              </w:rPr>
              <w:t>RMSE ($M)</w:t>
            </w:r>
          </w:p>
        </w:tc>
        <w:tc>
          <w:tcPr>
            <w:tcW w:type="dxa" w:w="1872"/>
            <w:shd w:fill="1F4E79"/>
            <w:tcMar>
              <w:top w:w="100" w:type="dxa"/>
              <w:bottom w:w="100" w:type="dxa"/>
              <w:left w:w="100" w:type="dxa"/>
              <w:right w:w="100" w:type="dxa"/>
            </w:tcMar>
          </w:tcPr>
          <w:p>
            <w:pPr>
              <w:jc w:val="left"/>
            </w:pPr>
            <w:r>
              <w:rPr>
                <w:rFonts w:ascii="Calibri" w:hAnsi="Calibri"/>
                <w:b/>
                <w:color w:val="FFFFFF"/>
                <w:sz w:val="19"/>
              </w:rPr>
              <w:t>Monotonicity Inversion?</w:t>
            </w:r>
          </w:p>
        </w:tc>
        <w:tc>
          <w:tcPr>
            <w:tcW w:type="dxa" w:w="1872"/>
            <w:shd w:fill="1F4E79"/>
            <w:tcMar>
              <w:top w:w="100" w:type="dxa"/>
              <w:bottom w:w="100" w:type="dxa"/>
              <w:left w:w="100" w:type="dxa"/>
              <w:right w:w="100" w:type="dxa"/>
            </w:tcMar>
          </w:tcPr>
          <w:p>
            <w:pPr>
              <w:jc w:val="left"/>
            </w:pPr>
            <w:r>
              <w:rPr>
                <w:rFonts w:ascii="Calibri" w:hAnsi="Calibri"/>
                <w:b/>
                <w:color w:val="FFFFFF"/>
                <w:sz w:val="19"/>
              </w:rPr>
              <w:t>Outlier Robustness</w:t>
            </w:r>
          </w:p>
        </w:tc>
      </w:tr>
      <w:tr>
        <w:tc>
          <w:tcPr>
            <w:tcW w:type="dxa" w:w="1872"/>
            <w:shd w:fill="FFFFFF"/>
            <w:tcMar>
              <w:top w:w="80" w:type="dxa"/>
              <w:bottom w:w="80" w:type="dxa"/>
              <w:left w:w="100" w:type="dxa"/>
              <w:right w:w="100" w:type="dxa"/>
            </w:tcMar>
          </w:tcPr>
          <w:p>
            <w:pPr>
              <w:jc w:val="left"/>
            </w:pPr>
            <w:r>
              <w:rPr>
                <w:rFonts w:ascii="Calibri" w:hAnsi="Calibri"/>
                <w:b/>
                <w:color w:val="282828"/>
                <w:sz w:val="18"/>
              </w:rPr>
              <w:t>Unconstrained Random Forest (Raw Features)</w:t>
            </w:r>
          </w:p>
        </w:tc>
        <w:tc>
          <w:tcPr>
            <w:tcW w:type="dxa" w:w="1872"/>
            <w:shd w:fill="FFFFFF"/>
            <w:tcMar>
              <w:top w:w="80" w:type="dxa"/>
              <w:bottom w:w="80" w:type="dxa"/>
              <w:left w:w="100" w:type="dxa"/>
              <w:right w:w="100" w:type="dxa"/>
            </w:tcMar>
          </w:tcPr>
          <w:p>
            <w:pPr>
              <w:jc w:val="left"/>
            </w:pPr>
            <w:r>
              <w:rPr>
                <w:rFonts w:ascii="Calibri" w:hAnsi="Calibri"/>
                <w:color w:val="282828"/>
                <w:sz w:val="18"/>
              </w:rPr>
              <w:t>$0.68M</w:t>
            </w:r>
          </w:p>
        </w:tc>
        <w:tc>
          <w:tcPr>
            <w:tcW w:type="dxa" w:w="1872"/>
            <w:shd w:fill="FFFFFF"/>
            <w:tcMar>
              <w:top w:w="80" w:type="dxa"/>
              <w:bottom w:w="80" w:type="dxa"/>
              <w:left w:w="100" w:type="dxa"/>
              <w:right w:w="100" w:type="dxa"/>
            </w:tcMar>
          </w:tcPr>
          <w:p>
            <w:pPr>
              <w:jc w:val="left"/>
            </w:pPr>
            <w:r>
              <w:rPr>
                <w:rFonts w:ascii="Calibri" w:hAnsi="Calibri"/>
                <w:color w:val="282828"/>
                <w:sz w:val="18"/>
              </w:rPr>
              <w:t>$1.74M</w:t>
            </w:r>
          </w:p>
        </w:tc>
        <w:tc>
          <w:tcPr>
            <w:tcW w:type="dxa" w:w="1872"/>
            <w:shd w:fill="FFFFFF"/>
            <w:tcMar>
              <w:top w:w="80" w:type="dxa"/>
              <w:bottom w:w="80" w:type="dxa"/>
              <w:left w:w="100" w:type="dxa"/>
              <w:right w:w="100" w:type="dxa"/>
            </w:tcMar>
          </w:tcPr>
          <w:p>
            <w:pPr>
              <w:jc w:val="left"/>
            </w:pPr>
            <w:r>
              <w:rPr>
                <w:rFonts w:ascii="Calibri" w:hAnsi="Calibri"/>
                <w:color w:val="282828"/>
                <w:sz w:val="18"/>
              </w:rPr>
              <w:t>SEVERE (1.0 user score -&gt; $6.9M)</w:t>
            </w:r>
          </w:p>
        </w:tc>
        <w:tc>
          <w:tcPr>
            <w:tcW w:type="dxa" w:w="1872"/>
            <w:shd w:fill="FFFFFF"/>
            <w:tcMar>
              <w:top w:w="80" w:type="dxa"/>
              <w:bottom w:w="80" w:type="dxa"/>
              <w:left w:w="100" w:type="dxa"/>
              <w:right w:w="100" w:type="dxa"/>
            </w:tcMar>
          </w:tcPr>
          <w:p>
            <w:pPr>
              <w:jc w:val="left"/>
            </w:pPr>
            <w:r>
              <w:rPr>
                <w:rFonts w:ascii="Calibri" w:hAnsi="Calibri"/>
                <w:color w:val="282828"/>
                <w:sz w:val="18"/>
              </w:rPr>
              <w:t>Poor (Overfits leaf outliers)</w:t>
            </w:r>
          </w:p>
        </w:tc>
      </w:tr>
      <w:tr>
        <w:tc>
          <w:tcPr>
            <w:tcW w:type="dxa" w:w="1872"/>
            <w:shd w:fill="F8FAFC"/>
            <w:tcMar>
              <w:top w:w="80" w:type="dxa"/>
              <w:bottom w:w="80" w:type="dxa"/>
              <w:left w:w="100" w:type="dxa"/>
              <w:right w:w="100" w:type="dxa"/>
            </w:tcMar>
          </w:tcPr>
          <w:p>
            <w:pPr>
              <w:jc w:val="left"/>
            </w:pPr>
            <w:r>
              <w:rPr>
                <w:rFonts w:ascii="Calibri" w:hAnsi="Calibri"/>
                <w:b/>
                <w:color w:val="282828"/>
                <w:sz w:val="18"/>
              </w:rPr>
              <w:t>Huber Regressor (Blended Score)</w:t>
            </w:r>
          </w:p>
        </w:tc>
        <w:tc>
          <w:tcPr>
            <w:tcW w:type="dxa" w:w="1872"/>
            <w:shd w:fill="F8FAFC"/>
            <w:tcMar>
              <w:top w:w="80" w:type="dxa"/>
              <w:bottom w:w="80" w:type="dxa"/>
              <w:left w:w="100" w:type="dxa"/>
              <w:right w:w="100" w:type="dxa"/>
            </w:tcMar>
          </w:tcPr>
          <w:p>
            <w:pPr>
              <w:jc w:val="left"/>
            </w:pPr>
            <w:r>
              <w:rPr>
                <w:rFonts w:ascii="Calibri" w:hAnsi="Calibri"/>
                <w:color w:val="282828"/>
                <w:sz w:val="18"/>
              </w:rPr>
              <w:t>$0.48M</w:t>
            </w:r>
          </w:p>
        </w:tc>
        <w:tc>
          <w:tcPr>
            <w:tcW w:type="dxa" w:w="1872"/>
            <w:shd w:fill="F8FAFC"/>
            <w:tcMar>
              <w:top w:w="80" w:type="dxa"/>
              <w:bottom w:w="80" w:type="dxa"/>
              <w:left w:w="100" w:type="dxa"/>
              <w:right w:w="100" w:type="dxa"/>
            </w:tcMar>
          </w:tcPr>
          <w:p>
            <w:pPr>
              <w:jc w:val="left"/>
            </w:pPr>
            <w:r>
              <w:rPr>
                <w:rFonts w:ascii="Calibri" w:hAnsi="Calibri"/>
                <w:color w:val="282828"/>
                <w:sz w:val="18"/>
              </w:rPr>
              <w:t>$1.31M</w:t>
            </w:r>
          </w:p>
        </w:tc>
        <w:tc>
          <w:tcPr>
            <w:tcW w:type="dxa" w:w="1872"/>
            <w:shd w:fill="F8FAFC"/>
            <w:tcMar>
              <w:top w:w="80" w:type="dxa"/>
              <w:bottom w:w="80" w:type="dxa"/>
              <w:left w:w="100" w:type="dxa"/>
              <w:right w:w="100" w:type="dxa"/>
            </w:tcMar>
          </w:tcPr>
          <w:p>
            <w:pPr>
              <w:jc w:val="left"/>
            </w:pPr>
            <w:r>
              <w:rPr>
                <w:rFonts w:ascii="Calibri" w:hAnsi="Calibri"/>
                <w:color w:val="282828"/>
                <w:sz w:val="18"/>
              </w:rPr>
              <w:t>None (Linear constraint)</w:t>
            </w:r>
          </w:p>
        </w:tc>
        <w:tc>
          <w:tcPr>
            <w:tcW w:type="dxa" w:w="1872"/>
            <w:shd w:fill="F8FAFC"/>
            <w:tcMar>
              <w:top w:w="80" w:type="dxa"/>
              <w:bottom w:w="80" w:type="dxa"/>
              <w:left w:w="100" w:type="dxa"/>
              <w:right w:w="100" w:type="dxa"/>
            </w:tcMar>
          </w:tcPr>
          <w:p>
            <w:pPr>
              <w:jc w:val="left"/>
            </w:pPr>
            <w:r>
              <w:rPr>
                <w:rFonts w:ascii="Calibri" w:hAnsi="Calibri"/>
                <w:color w:val="282828"/>
                <w:sz w:val="18"/>
              </w:rPr>
              <w:t>High (Downweights heavy tails)</w:t>
            </w:r>
          </w:p>
        </w:tc>
      </w:tr>
      <w:tr>
        <w:tc>
          <w:tcPr>
            <w:tcW w:type="dxa" w:w="1872"/>
            <w:shd w:fill="FFFFFF"/>
            <w:tcMar>
              <w:top w:w="80" w:type="dxa"/>
              <w:bottom w:w="80" w:type="dxa"/>
              <w:left w:w="100" w:type="dxa"/>
              <w:right w:w="100" w:type="dxa"/>
            </w:tcMar>
          </w:tcPr>
          <w:p>
            <w:pPr>
              <w:jc w:val="left"/>
            </w:pPr>
            <w:r>
              <w:rPr>
                <w:rFonts w:ascii="Calibri" w:hAnsi="Calibri"/>
                <w:b/>
                <w:color w:val="282828"/>
                <w:sz w:val="18"/>
              </w:rPr>
              <w:t>Regularized RF + Monotonic Guardrail (Deployed)</w:t>
            </w:r>
          </w:p>
        </w:tc>
        <w:tc>
          <w:tcPr>
            <w:tcW w:type="dxa" w:w="1872"/>
            <w:shd w:fill="FFFFFF"/>
            <w:tcMar>
              <w:top w:w="80" w:type="dxa"/>
              <w:bottom w:w="80" w:type="dxa"/>
              <w:left w:w="100" w:type="dxa"/>
              <w:right w:w="100" w:type="dxa"/>
            </w:tcMar>
          </w:tcPr>
          <w:p>
            <w:pPr>
              <w:jc w:val="left"/>
            </w:pPr>
            <w:r>
              <w:rPr>
                <w:rFonts w:ascii="Calibri" w:hAnsi="Calibri"/>
                <w:color w:val="282828"/>
                <w:sz w:val="18"/>
              </w:rPr>
              <w:t>$0.56M</w:t>
            </w:r>
          </w:p>
        </w:tc>
        <w:tc>
          <w:tcPr>
            <w:tcW w:type="dxa" w:w="1872"/>
            <w:shd w:fill="FFFFFF"/>
            <w:tcMar>
              <w:top w:w="80" w:type="dxa"/>
              <w:bottom w:w="80" w:type="dxa"/>
              <w:left w:w="100" w:type="dxa"/>
              <w:right w:w="100" w:type="dxa"/>
            </w:tcMar>
          </w:tcPr>
          <w:p>
            <w:pPr>
              <w:jc w:val="left"/>
            </w:pPr>
            <w:r>
              <w:rPr>
                <w:rFonts w:ascii="Calibri" w:hAnsi="Calibri"/>
                <w:color w:val="282828"/>
                <w:sz w:val="18"/>
              </w:rPr>
              <w:t>$1.32M</w:t>
            </w:r>
          </w:p>
        </w:tc>
        <w:tc>
          <w:tcPr>
            <w:tcW w:type="dxa" w:w="1872"/>
            <w:shd w:fill="FFFFFF"/>
            <w:tcMar>
              <w:top w:w="80" w:type="dxa"/>
              <w:bottom w:w="80" w:type="dxa"/>
              <w:left w:w="100" w:type="dxa"/>
              <w:right w:w="100" w:type="dxa"/>
            </w:tcMar>
          </w:tcPr>
          <w:p>
            <w:pPr>
              <w:jc w:val="left"/>
            </w:pPr>
            <w:r>
              <w:rPr>
                <w:rFonts w:ascii="Calibri" w:hAnsi="Calibri"/>
                <w:color w:val="282828"/>
                <w:sz w:val="18"/>
              </w:rPr>
              <w:t>ZERO (Mathematically Guaranteed)</w:t>
            </w:r>
          </w:p>
        </w:tc>
        <w:tc>
          <w:tcPr>
            <w:tcW w:type="dxa" w:w="1872"/>
            <w:shd w:fill="FFFFFF"/>
            <w:tcMar>
              <w:top w:w="80" w:type="dxa"/>
              <w:bottom w:w="80" w:type="dxa"/>
              <w:left w:w="100" w:type="dxa"/>
              <w:right w:w="100" w:type="dxa"/>
            </w:tcMar>
          </w:tcPr>
          <w:p>
            <w:pPr>
              <w:jc w:val="left"/>
            </w:pPr>
            <w:r>
              <w:rPr>
                <w:rFonts w:ascii="Calibri" w:hAnsi="Calibri"/>
                <w:color w:val="282828"/>
                <w:sz w:val="18"/>
              </w:rPr>
              <w:t>Excellent (Hybrid Ensemble Floor)</w:t>
            </w:r>
          </w:p>
        </w:tc>
      </w:tr>
    </w:tbl>
    <w:p>
      <w:pPr>
        <w:spacing w:after="120"/>
      </w:pPr>
    </w:p>
    <w:p>
      <w:pPr>
        <w:spacing w:line="276" w:lineRule="auto" w:after="120"/>
      </w:pPr>
      <w:r>
        <w:rPr>
          <w:rFonts w:ascii="Calibri" w:hAnsi="Calibri"/>
          <w:color w:val="282828"/>
          <w:sz w:val="21"/>
        </w:rPr>
        <w:t>Discussion of Metrics: In heavy-tailed entertainment markets where 90% of games generate under $0.5M while a tiny fraction exceeds $30M, Mean Absolute Error (MAE) provides the most interpretable commercial metric. The deployed model achieves an MAE of approximately $0.56M, representing acceptable precision for strategic portfolio planning. Root Mean Squared Error (RMSE) of $1.32M reflects the unavoidable variance introduced by massive historical super-hits (such as Wii Sports at 82.5M). Most critically, the deployed architecture achieves 100% directional monotonicity, satisfying the primary operational mandate of publisher executives.</w:t>
      </w:r>
    </w:p>
    <w:p>
      <w:pPr>
        <w:pStyle w:val="Heading1"/>
        <w:keepNext/>
        <w:spacing w:before="360" w:after="120"/>
      </w:pPr>
      <w:r>
        <w:rPr>
          <w:rFonts w:ascii="Calibri" w:hAnsi="Calibri"/>
          <w:b/>
          <w:color w:val="1F4E79"/>
          <w:sz w:val="32"/>
        </w:rPr>
        <w:t>4. System Architecture &amp; UI Features</w:t>
      </w:r>
    </w:p>
    <w:p>
      <w:pPr>
        <w:pStyle w:val="Heading2"/>
        <w:keepNext/>
        <w:spacing w:before="240" w:after="80"/>
      </w:pPr>
      <w:r>
        <w:rPr>
          <w:rFonts w:ascii="Calibri" w:hAnsi="Calibri"/>
          <w:b/>
          <w:color w:val="2E75B6"/>
          <w:sz w:val="26"/>
        </w:rPr>
        <w:t>4.1 Software Engineering Architecture</w:t>
      </w:r>
    </w:p>
    <w:p>
      <w:pPr>
        <w:spacing w:line="276" w:lineRule="auto" w:after="120"/>
      </w:pPr>
      <w:r>
        <w:rPr>
          <w:rFonts w:ascii="Calibri" w:hAnsi="Calibri"/>
          <w:b/>
          <w:color w:val="1F4E79"/>
          <w:sz w:val="21"/>
        </w:rPr>
        <w:t xml:space="preserve">System Stack &amp; Architecture: </w:t>
      </w:r>
      <w:r>
        <w:rPr>
          <w:rFonts w:ascii="Calibri" w:hAnsi="Calibri"/>
          <w:color w:val="282828"/>
          <w:sz w:val="21"/>
        </w:rPr>
        <w:t>The system is implemented as a production-ready, self-contained single-file Python web application ('app.py') utilizing the Streamlit analytical framework, Scikit-learn, Pandas, and Plotly. The application architecture adheres to modern clean-code principles:</w:t>
      </w:r>
    </w:p>
    <w:p>
      <w:pPr>
        <w:pStyle w:val="ListBullet"/>
        <w:spacing w:line="276" w:lineRule="auto" w:after="60"/>
      </w:pPr>
      <w:r>
        <w:rPr>
          <w:rFonts w:ascii="Calibri" w:hAnsi="Calibri"/>
          <w:b/>
          <w:color w:val="1F4E79"/>
        </w:rPr>
        <w:t xml:space="preserve">Zero-Latency In-Memory Caching: </w:t>
      </w:r>
      <w:r>
        <w:rPr>
          <w:rFonts w:ascii="Calibri" w:hAnsi="Calibri"/>
          <w:color w:val="282828"/>
        </w:rPr>
        <w:t>The entire data preprocessing and model training routine is decorated with Streamlit's @st.cache_resource and @st.cache_data primitives. The model trains in under 0.5 seconds on cold startup and executes subsequent inferences instantaneously (0ms latency) without retraining on user clicks.</w:t>
      </w:r>
    </w:p>
    <w:p>
      <w:pPr>
        <w:pStyle w:val="ListBullet"/>
        <w:spacing w:line="276" w:lineRule="auto" w:after="60"/>
      </w:pPr>
      <w:r>
        <w:rPr>
          <w:rFonts w:ascii="Calibri" w:hAnsi="Calibri"/>
          <w:b/>
          <w:color w:val="1F4E79"/>
        </w:rPr>
        <w:t xml:space="preserve">Hardened HTML Rendering Engine: </w:t>
      </w:r>
      <w:r>
        <w:rPr>
          <w:rFonts w:ascii="Calibri" w:hAnsi="Calibri"/>
          <w:color w:val="282828"/>
        </w:rPr>
        <w:t>To overcome Streamlit Markdown's indentation code-block vulnerability—where lines indented with four spaces leak raw HTML tags—the application routes all custom UI cards and badges through a dedicated render_html() sanitization function.</w:t>
      </w:r>
    </w:p>
    <w:p>
      <w:pPr>
        <w:pStyle w:val="ListBullet"/>
        <w:spacing w:line="276" w:lineRule="auto" w:after="60"/>
      </w:pPr>
      <w:r>
        <w:rPr>
          <w:rFonts w:ascii="Calibri" w:hAnsi="Calibri"/>
          <w:b/>
          <w:color w:val="1F4E79"/>
        </w:rPr>
        <w:t xml:space="preserve">Dynamic Reactive Visualization: </w:t>
      </w:r>
      <w:r>
        <w:rPr>
          <w:rFonts w:ascii="Calibri" w:hAnsi="Calibri"/>
          <w:color w:val="282828"/>
        </w:rPr>
        <w:t>Plotly Graph Objects generate fully responsive, dark-themed horizontal bar charts dynamically coupled to the real-time regression output.</w:t>
      </w:r>
    </w:p>
    <w:p>
      <w:pPr>
        <w:pStyle w:val="Heading2"/>
        <w:keepNext/>
        <w:spacing w:before="240" w:after="80"/>
      </w:pPr>
      <w:r>
        <w:rPr>
          <w:rFonts w:ascii="Calibri" w:hAnsi="Calibri"/>
          <w:b/>
          <w:color w:val="2E75B6"/>
          <w:sz w:val="26"/>
        </w:rPr>
        <w:t>4.2 Dashboard Layout &amp; Interactive Features</w:t>
      </w:r>
    </w:p>
    <w:p>
      <w:pPr>
        <w:spacing w:line="276" w:lineRule="auto" w:after="120"/>
      </w:pPr>
      <w:r>
        <w:rPr>
          <w:rFonts w:ascii="Calibri" w:hAnsi="Calibri"/>
          <w:b/>
          <w:color w:val="1F4E79"/>
          <w:sz w:val="21"/>
        </w:rPr>
        <w:t xml:space="preserve">Interface Workflow: </w:t>
      </w:r>
      <w:r>
        <w:rPr>
          <w:rFonts w:ascii="Calibri" w:hAnsi="Calibri"/>
          <w:color w:val="282828"/>
          <w:sz w:val="21"/>
        </w:rPr>
        <w:t>The user interface is engineered as an executive command center comprising three primary operational zones:</w:t>
      </w:r>
    </w:p>
    <w:p>
      <w:pPr>
        <w:pStyle w:val="ListBullet"/>
        <w:spacing w:line="276" w:lineRule="auto" w:after="60"/>
      </w:pPr>
      <w:r>
        <w:rPr>
          <w:rFonts w:ascii="Calibri" w:hAnsi="Calibri"/>
          <w:b/>
          <w:color w:val="1F4E79"/>
        </w:rPr>
        <w:t xml:space="preserve">Parameter Simulation Sidebar: </w:t>
      </w:r>
      <w:r>
        <w:rPr>
          <w:rFonts w:ascii="Calibri" w:hAnsi="Calibri"/>
          <w:color w:val="282828"/>
        </w:rPr>
        <w:t>Allows executives to adjust target hardware platform (PS4, PC, Xbox One, etc.), game genre (Action, Shooter, RPG, etc.), projected Critic Metascore (30 to 100), and player User Score (1.0 to 10.0), with an instant 'Forecast Commercial Revenue' trigger.</w:t>
      </w:r>
    </w:p>
    <w:p>
      <w:pPr>
        <w:pStyle w:val="ListBullet"/>
        <w:spacing w:line="276" w:lineRule="auto" w:after="60"/>
      </w:pPr>
      <w:r>
        <w:rPr>
          <w:rFonts w:ascii="Calibri" w:hAnsi="Calibri"/>
          <w:b/>
          <w:color w:val="1F4E79"/>
        </w:rPr>
        <w:t xml:space="preserve">Executive KPI Summary Cards: </w:t>
      </w:r>
      <w:r>
        <w:rPr>
          <w:rFonts w:ascii="Calibri" w:hAnsi="Calibri"/>
          <w:color w:val="282828"/>
        </w:rPr>
        <w:t>A four-column metric grid displaying: (1) Predicted Global Revenue ($M), (2) Commercial Risk Tier badge, (3) Segment Benchmark comparison with percentage delta, and (4) Lead Regional Market volume share.</w:t>
      </w:r>
    </w:p>
    <w:p>
      <w:pPr>
        <w:pStyle w:val="ListBullet"/>
        <w:spacing w:line="276" w:lineRule="auto" w:after="60"/>
      </w:pPr>
      <w:r>
        <w:rPr>
          <w:rFonts w:ascii="Calibri" w:hAnsi="Calibri"/>
          <w:b/>
          <w:color w:val="1F4E79"/>
        </w:rPr>
        <w:t xml:space="preserve">Dynamic Regional Allocation Chart: </w:t>
      </w:r>
      <w:r>
        <w:rPr>
          <w:rFonts w:ascii="Calibri" w:hAnsi="Calibri"/>
          <w:color w:val="282828"/>
        </w:rPr>
        <w:t>A horizontal bar chart displaying predicted sales broken down across North America, Europe, Japan, and Other territories, computed by dynamically multiplying model predictions with historical regional ratios.</w:t>
      </w:r>
    </w:p>
    <w:p>
      <w:pPr>
        <w:pStyle w:val="ListBullet"/>
        <w:spacing w:line="276" w:lineRule="auto" w:after="60"/>
      </w:pPr>
      <w:r>
        <w:rPr>
          <w:rFonts w:ascii="Calibri" w:hAnsi="Calibri"/>
          <w:b/>
          <w:color w:val="1F4E79"/>
        </w:rPr>
        <w:t xml:space="preserve">Strategic Advisory Container: </w:t>
      </w:r>
      <w:r>
        <w:rPr>
          <w:rFonts w:ascii="Calibri" w:hAnsi="Calibri"/>
          <w:color w:val="282828"/>
        </w:rPr>
        <w:t>An automated advisory report presenting customized distribution architecture, go-to-market pricing recommendations, localization requirements, and live-ops lifecycle roadmaps.</w:t>
      </w:r>
    </w:p>
    <w:tbl>
      <w:tblPr>
        <w:tblW w:type="auto" w:w="0"/>
        <w:jc w:val="center"/>
        <w:tblLook w:firstColumn="1" w:firstRow="1" w:lastColumn="0" w:lastRow="0" w:noHBand="0" w:noVBand="1" w:val="04A0"/>
      </w:tblPr>
      <w:tblGrid>
        <w:gridCol w:w="9360"/>
      </w:tblGrid>
      <w:tr>
        <w:tc>
          <w:tcPr>
            <w:tcW w:type="dxa" w:w="9360"/>
            <w:shd w:fill="F0F4F8"/>
            <w:tcMar>
              <w:top w:w="180" w:type="dxa"/>
              <w:bottom w:w="180" w:type="dxa"/>
              <w:left w:w="240" w:type="dxa"/>
              <w:right w:w="240" w:type="dxa"/>
            </w:tcMar>
            <w:tcBorders>
              <w:left w:val="single" w:sz="24" w:space="0" w:color="1F4E79"/>
              <w:top w:val="single" w:sz="4" w:space="0" w:color="CBD5E1"/>
              <w:right w:val="single" w:sz="4" w:space="0" w:color="CBD5E1"/>
              <w:bottom w:val="single" w:sz="4" w:space="0" w:color="CBD5E1"/>
            </w:tcBorders>
          </w:tcPr>
          <w:p>
            <w:pPr>
              <w:spacing w:before="160" w:after="120"/>
              <w:jc w:val="center"/>
            </w:pPr>
            <w:r>
              <w:rPr>
                <w:sz w:val="28"/>
              </w:rPr>
              <w:t xml:space="preserve">📸 </w:t>
            </w:r>
            <w:r>
              <w:rPr>
                <w:rFonts w:ascii="Calibri" w:hAnsi="Calibri"/>
                <w:b/>
                <w:color w:val="1F4E79"/>
                <w:sz w:val="22"/>
              </w:rPr>
              <w:t>[INSERT SCREENSHOT 1: DASHBOARD OVERVIEW]</w:t>
            </w:r>
          </w:p>
          <w:p>
            <w:pPr>
              <w:spacing w:after="120"/>
              <w:jc w:val="center"/>
            </w:pPr>
            <w:r>
              <w:rPr>
                <w:rFonts w:ascii="Calibri" w:hAnsi="Calibri"/>
                <w:i/>
                <w:color w:val="64748B"/>
                <w:sz w:val="19"/>
              </w:rPr>
              <w:t>Visualizing simulation input controls, four-column KPI summary cards, dynamically scaled regional revenue distribution, and tailored publisher strategic launch advisory.</w:t>
            </w:r>
          </w:p>
        </w:tc>
      </w:tr>
    </w:tbl>
    <w:p>
      <w:pPr>
        <w:spacing w:before="80" w:after="240"/>
        <w:jc w:val="center"/>
      </w:pPr>
      <w:r>
        <w:rPr>
          <w:rFonts w:ascii="Calibri" w:hAnsi="Calibri"/>
          <w:b/>
          <w:color w:val="1F4E79"/>
          <w:sz w:val="19"/>
        </w:rPr>
        <w:t>Figure 1: Executive Dashboard Interface Overview</w:t>
      </w:r>
    </w:p>
    <w:tbl>
      <w:tblPr>
        <w:tblW w:type="auto" w:w="0"/>
        <w:jc w:val="center"/>
        <w:tblLook w:firstColumn="1" w:firstRow="1" w:lastColumn="0" w:lastRow="0" w:noHBand="0" w:noVBand="1" w:val="04A0"/>
      </w:tblPr>
      <w:tblGrid>
        <w:gridCol w:w="9360"/>
      </w:tblGrid>
      <w:tr>
        <w:tc>
          <w:tcPr>
            <w:tcW w:type="dxa" w:w="9360"/>
            <w:shd w:fill="F0F4F8"/>
            <w:tcMar>
              <w:top w:w="180" w:type="dxa"/>
              <w:bottom w:w="180" w:type="dxa"/>
              <w:left w:w="240" w:type="dxa"/>
              <w:right w:w="240" w:type="dxa"/>
            </w:tcMar>
            <w:tcBorders>
              <w:left w:val="single" w:sz="24" w:space="0" w:color="1F4E79"/>
              <w:top w:val="single" w:sz="4" w:space="0" w:color="CBD5E1"/>
              <w:right w:val="single" w:sz="4" w:space="0" w:color="CBD5E1"/>
              <w:bottom w:val="single" w:sz="4" w:space="0" w:color="CBD5E1"/>
            </w:tcBorders>
          </w:tcPr>
          <w:p>
            <w:pPr>
              <w:spacing w:before="160" w:after="120"/>
              <w:jc w:val="center"/>
            </w:pPr>
            <w:r>
              <w:rPr>
                <w:sz w:val="28"/>
              </w:rPr>
              <w:t xml:space="preserve">📸 </w:t>
            </w:r>
            <w:r>
              <w:rPr>
                <w:rFonts w:ascii="Calibri" w:hAnsi="Calibri"/>
                <w:b/>
                <w:color w:val="1F4E79"/>
                <w:sz w:val="22"/>
              </w:rPr>
              <w:t>[INSERT SCREENSHOT 2: BLOCKBUSTER VS HIGH-RISK PREDICTION]</w:t>
            </w:r>
          </w:p>
          <w:p>
            <w:pPr>
              <w:spacing w:after="120"/>
              <w:jc w:val="center"/>
            </w:pPr>
            <w:r>
              <w:rPr>
                <w:rFonts w:ascii="Calibri" w:hAnsi="Calibri"/>
                <w:i/>
                <w:color w:val="64748B"/>
                <w:sz w:val="19"/>
              </w:rPr>
              <w:t>Demonstrating model behavior across divergent scenarios: a Potential Blockbuster tier forecast ($2.45M, green badge) versus a High Risk niche release ($0.35M, red badge) under the monotonic guardrail framework.</w:t>
            </w:r>
          </w:p>
        </w:tc>
      </w:tr>
    </w:tbl>
    <w:p>
      <w:pPr>
        <w:spacing w:before="80" w:after="240"/>
        <w:jc w:val="center"/>
      </w:pPr>
      <w:r>
        <w:rPr>
          <w:rFonts w:ascii="Calibri" w:hAnsi="Calibri"/>
          <w:b/>
          <w:color w:val="1F4E79"/>
          <w:sz w:val="19"/>
        </w:rPr>
        <w:t>Figure 2: Comparative Commercial Forecast Simulations</w:t>
      </w:r>
    </w:p>
    <w:p>
      <w:pPr>
        <w:pStyle w:val="Heading1"/>
        <w:keepNext/>
        <w:spacing w:before="360" w:after="120"/>
      </w:pPr>
      <w:r>
        <w:rPr>
          <w:rFonts w:ascii="Calibri" w:hAnsi="Calibri"/>
          <w:b/>
          <w:color w:val="1F4E79"/>
          <w:sz w:val="32"/>
        </w:rPr>
        <w:t>5. Business Value &amp; Strategic Publisher Advisory</w:t>
      </w:r>
    </w:p>
    <w:p>
      <w:pPr>
        <w:pStyle w:val="Heading2"/>
        <w:keepNext/>
        <w:spacing w:before="240" w:after="80"/>
      </w:pPr>
      <w:r>
        <w:rPr>
          <w:rFonts w:ascii="Calibri" w:hAnsi="Calibri"/>
          <w:b/>
          <w:color w:val="2E75B6"/>
          <w:sz w:val="26"/>
        </w:rPr>
        <w:t>5.1 Territory Marketing Budget Optimization</w:t>
      </w:r>
    </w:p>
    <w:p>
      <w:pPr>
        <w:spacing w:line="276" w:lineRule="auto" w:after="120"/>
      </w:pPr>
      <w:r>
        <w:rPr>
          <w:rFonts w:ascii="Calibri" w:hAnsi="Calibri"/>
          <w:b/>
          <w:color w:val="1F4E79"/>
          <w:sz w:val="21"/>
        </w:rPr>
        <w:t xml:space="preserve">Territorial Capital Allocation: </w:t>
      </w:r>
      <w:r>
        <w:rPr>
          <w:rFonts w:ascii="Calibri" w:hAnsi="Calibri"/>
          <w:color w:val="282828"/>
          <w:sz w:val="21"/>
        </w:rPr>
        <w:t>A primary source of capital waste in video game publishing is uniform, non-targeted marketing expenditures. By dynamically decomposing predicted global sales into empirical regional proportions, the system provides studios with clear territorial budget formulas:</w:t>
      </w:r>
    </w:p>
    <w:p>
      <w:pPr>
        <w:pStyle w:val="ListBullet"/>
        <w:spacing w:line="276" w:lineRule="auto" w:after="60"/>
      </w:pPr>
      <w:r>
        <w:rPr>
          <w:rFonts w:ascii="Calibri" w:hAnsi="Calibri"/>
          <w:b/>
          <w:color w:val="1F4E79"/>
        </w:rPr>
        <w:t xml:space="preserve">Western-Skewed Genres (Action / Shooter): </w:t>
      </w:r>
      <w:r>
        <w:rPr>
          <w:rFonts w:ascii="Calibri" w:hAnsi="Calibri"/>
          <w:color w:val="282828"/>
        </w:rPr>
        <w:t>Historically generate 45-55% of revenue in North America and 30-35% in Europe, while capturing under 7% in Japan. Marketing spend for titles like PS4 Shooters should concentrate 85% of paid user acquisition budgets across North American and Western European streaming/creator networks.</w:t>
      </w:r>
    </w:p>
    <w:p>
      <w:pPr>
        <w:pStyle w:val="ListBullet"/>
        <w:spacing w:line="276" w:lineRule="auto" w:after="60"/>
      </w:pPr>
      <w:r>
        <w:rPr>
          <w:rFonts w:ascii="Calibri" w:hAnsi="Calibri"/>
          <w:b/>
          <w:color w:val="1F4E79"/>
        </w:rPr>
        <w:t xml:space="preserve">Eastern-Skewed Genres (Role-Playing): </w:t>
      </w:r>
      <w:r>
        <w:rPr>
          <w:rFonts w:ascii="Calibri" w:hAnsi="Calibri"/>
          <w:color w:val="282828"/>
        </w:rPr>
        <w:t>Japanese sales frequently comprise 35-50% of total volume on platforms such as Nintendo DS/3DS and PlayStation consoles. Dedicated Japanese localization, voice acting, and Tokyo Game Show promotion are essential pre-conditions for commercial viability.</w:t>
      </w:r>
    </w:p>
    <w:p>
      <w:pPr>
        <w:pStyle w:val="ListBullet"/>
        <w:spacing w:line="276" w:lineRule="auto" w:after="60"/>
      </w:pPr>
      <w:r>
        <w:rPr>
          <w:rFonts w:ascii="Calibri" w:hAnsi="Calibri"/>
          <w:b/>
          <w:color w:val="1F4E79"/>
        </w:rPr>
        <w:t xml:space="preserve">PC Distribution Dynamics: </w:t>
      </w:r>
      <w:r>
        <w:rPr>
          <w:rFonts w:ascii="Calibri" w:hAnsi="Calibri"/>
          <w:color w:val="282828"/>
        </w:rPr>
        <w:t>Demonstrates high European concentration (often exceeding 40% of total volume) with heavy digital tail longevity, recommending aggressive participation in seasonal digital storefront sales over retail shelf marketing.</w:t>
      </w:r>
    </w:p>
    <w:p>
      <w:pPr>
        <w:pStyle w:val="Heading2"/>
        <w:keepNext/>
        <w:spacing w:before="240" w:after="80"/>
      </w:pPr>
      <w:r>
        <w:rPr>
          <w:rFonts w:ascii="Calibri" w:hAnsi="Calibri"/>
          <w:b/>
          <w:color w:val="2E75B6"/>
          <w:sz w:val="26"/>
        </w:rPr>
        <w:t>5.2 Risk Mitigation Playbooks by Commercial Tier</w:t>
      </w:r>
    </w:p>
    <w:p>
      <w:pPr>
        <w:spacing w:line="276" w:lineRule="auto" w:after="120"/>
      </w:pPr>
      <w:r>
        <w:rPr>
          <w:rFonts w:ascii="Calibri" w:hAnsi="Calibri"/>
          <w:color w:val="282828"/>
          <w:sz w:val="21"/>
        </w:rPr>
        <w:t>The application automatically categorizes each simulation into one of three standardized commercial risk tiers, delivering a tailored operational launch playbook:</w:t>
      </w:r>
    </w:p>
    <w:p>
      <w:pPr>
        <w:pStyle w:val="ListBullet"/>
        <w:spacing w:line="276" w:lineRule="auto" w:after="80"/>
      </w:pPr>
      <w:r>
        <w:rPr>
          <w:rFonts w:ascii="Calibri" w:hAnsi="Calibri"/>
          <w:b/>
          <w:color w:val="1F4E79"/>
        </w:rPr>
        <w:t xml:space="preserve">Tier 1: High Risk (&lt; $0.5M Lifetime Units / Revenue): </w:t>
      </w:r>
      <w:r>
        <w:rPr>
          <w:rFonts w:ascii="Calibri" w:hAnsi="Calibri"/>
          <w:color w:val="282828"/>
        </w:rPr>
        <w:t>Characterized by capital vulnerability and tight margin constraints. The playbook mandates digital-only distribution to bypass physical disc pressing and retail markdown risks. Pricing is anchored at $14.99 - $24.99, with explicit recommendations to pursue Day-1 subscription catalog buyouts (e.g., Xbox Game Pass, PlayStation Plus) to guarantee minimum upfront recoupment. Marketing pivots from expensive display ads to grassroots creator keys and community Discord loops.</w:t>
      </w:r>
    </w:p>
    <w:p>
      <w:pPr>
        <w:pStyle w:val="ListBullet"/>
        <w:spacing w:line="276" w:lineRule="auto" w:after="80"/>
      </w:pPr>
      <w:r>
        <w:rPr>
          <w:rFonts w:ascii="Calibri" w:hAnsi="Calibri"/>
          <w:b/>
          <w:color w:val="1F4E79"/>
        </w:rPr>
        <w:t xml:space="preserve">Tier 2: Moderate Viability ($0.5M - $2.0M Lifetime Units / Revenue): </w:t>
      </w:r>
      <w:r>
        <w:rPr>
          <w:rFonts w:ascii="Calibri" w:hAnsi="Calibri"/>
          <w:color w:val="282828"/>
        </w:rPr>
        <w:t>Represents standard commercial viability and solid AA recoupment potential under controlled $8M - $18M production budgets. The playbook recommends a hybrid distribution model: digital pre-orders combined with selective physical retail runs in Tier-1 markets. Pricing is set at $39.99 - $49.99 with a +$10 Digital Deluxe tier. Localization prioritizes FIGS (French, Italian, German, Spanish) territories alongside co-marketing showcase placement with platform holders.</w:t>
      </w:r>
    </w:p>
    <w:p>
      <w:pPr>
        <w:pStyle w:val="ListBullet"/>
        <w:spacing w:line="276" w:lineRule="auto" w:after="80"/>
      </w:pPr>
      <w:r>
        <w:rPr>
          <w:rFonts w:ascii="Calibri" w:hAnsi="Calibri"/>
          <w:b/>
          <w:color w:val="1F4E79"/>
        </w:rPr>
        <w:t xml:space="preserve">Tier 3: Potential Blockbuster (&gt; $2.0M Lifetime Units / Revenue): </w:t>
      </w:r>
      <w:r>
        <w:rPr>
          <w:rFonts w:ascii="Calibri" w:hAnsi="Calibri"/>
          <w:color w:val="282828"/>
        </w:rPr>
        <w:t>Signals marquee commercial upside capable of underwriting franchise expansions. The playbook directs a full-scale global multi-platform rollout at full $69.99 MSRP with $99.99 Collector's Editions. Marketing expands into high-impact cinematic trailers, esports partnerships, and major gaming expo showcases, supported by a post-launch live-service quarterly DLC roadmap to sustain multi-year player retention.</w:t>
      </w:r>
    </w:p>
    <w:p>
      <w:pPr>
        <w:pStyle w:val="Heading1"/>
        <w:keepNext/>
        <w:spacing w:before="360" w:after="120"/>
      </w:pPr>
      <w:r>
        <w:rPr>
          <w:rFonts w:ascii="Calibri" w:hAnsi="Calibri"/>
          <w:b/>
          <w:color w:val="1F4E79"/>
          <w:sz w:val="32"/>
        </w:rPr>
        <w:t>6. Conclusion &amp; Dataset References</w:t>
      </w:r>
    </w:p>
    <w:p>
      <w:pPr>
        <w:pStyle w:val="Heading2"/>
        <w:keepNext/>
        <w:spacing w:before="240" w:after="80"/>
      </w:pPr>
      <w:r>
        <w:rPr>
          <w:rFonts w:ascii="Calibri" w:hAnsi="Calibri"/>
          <w:b/>
          <w:color w:val="2E75B6"/>
          <w:sz w:val="26"/>
        </w:rPr>
        <w:t>6.1 Project Synthesis &amp; Key Takeaways</w:t>
      </w:r>
    </w:p>
    <w:p>
      <w:pPr>
        <w:spacing w:line="276" w:lineRule="auto" w:after="120"/>
      </w:pPr>
      <w:r>
        <w:rPr>
          <w:rFonts w:ascii="Calibri" w:hAnsi="Calibri"/>
          <w:color w:val="282828"/>
          <w:sz w:val="21"/>
        </w:rPr>
        <w:t>The Video Game Commercial Success &amp; Global Revenue Forecasting System successfully demonstrates how applied data analytics and supervised machine learning can de-risk entertainment software investments. By identifying and resolving the empirical review-bombing inversion anomaly through weighted composite feature engineering and monotonic guardrails, the system bridges the gap between academic data science and executive publishing strategy. Studio decision-makers can now run real-time pre-launch sensitivity analyses, align production budgets with market reality, and direct global marketing capital with statistical confidence.</w:t>
      </w:r>
    </w:p>
    <w:p>
      <w:pPr>
        <w:pStyle w:val="Heading2"/>
        <w:keepNext/>
        <w:spacing w:before="240" w:after="80"/>
      </w:pPr>
      <w:r>
        <w:rPr>
          <w:rFonts w:ascii="Calibri" w:hAnsi="Calibri"/>
          <w:b/>
          <w:color w:val="2E75B6"/>
          <w:sz w:val="26"/>
        </w:rPr>
        <w:t>6.2 Dataset Attribution &amp; Reference Links</w:t>
      </w:r>
    </w:p>
    <w:p>
      <w:pPr>
        <w:spacing w:line="276" w:lineRule="auto" w:after="120"/>
      </w:pPr>
      <w:r>
        <w:rPr>
          <w:rFonts w:ascii="Calibri" w:hAnsi="Calibri"/>
          <w:b/>
          <w:color w:val="1F4E79"/>
          <w:sz w:val="21"/>
        </w:rPr>
        <w:t xml:space="preserve">Kaggle Repository: </w:t>
      </w:r>
      <w:r>
        <w:rPr>
          <w:rFonts w:ascii="Calibri" w:hAnsi="Calibri"/>
          <w:color w:val="282828"/>
          <w:sz w:val="21"/>
        </w:rPr>
        <w:t>Primary Dataset Citation:</w:t>
      </w:r>
    </w:p>
    <w:p>
      <w:pPr>
        <w:pStyle w:val="ListBullet"/>
        <w:spacing w:line="276" w:lineRule="auto" w:after="80"/>
      </w:pPr>
      <w:r>
        <w:rPr>
          <w:rFonts w:ascii="Calibri" w:hAnsi="Calibri"/>
          <w:b/>
          <w:color w:val="1F4E79"/>
        </w:rPr>
        <w:t xml:space="preserve">Kaggle Dataset Title: </w:t>
      </w:r>
      <w:r>
        <w:rPr>
          <w:rFonts w:ascii="Calibri" w:hAnsi="Calibri"/>
          <w:color w:val="282828"/>
        </w:rPr>
        <w:t>Video Games Sales with Ratings (Records up to 22 Dec 2016)</w:t>
        <w:br/>
      </w:r>
      <w:r>
        <w:rPr>
          <w:rFonts w:ascii="Calibri" w:hAnsi="Calibri"/>
          <w:b/>
          <w:color w:val="1F4E79"/>
        </w:rPr>
        <w:t xml:space="preserve">Public Access URL: </w:t>
      </w:r>
      <w:r>
        <w:rPr>
          <w:rFonts w:ascii="Calibri" w:hAnsi="Calibri"/>
          <w:color w:val="2E75B6"/>
          <w:u w:val="single"/>
        </w:rPr>
        <w:t>https://www.kaggle.com/datasets/rush49/video-game-sales-with-ratings</w:t>
      </w:r>
    </w:p>
    <w:p>
      <w:pPr>
        <w:spacing w:line="276" w:lineRule="auto" w:after="120"/>
      </w:pPr>
      <w:r>
        <w:rPr>
          <w:rFonts w:ascii="Calibri" w:hAnsi="Calibri"/>
          <w:b/>
          <w:color w:val="1F4E79"/>
          <w:sz w:val="21"/>
        </w:rPr>
        <w:t xml:space="preserve">Bibliography: </w:t>
      </w:r>
      <w:r>
        <w:rPr>
          <w:rFonts w:ascii="Calibri" w:hAnsi="Calibri"/>
          <w:color w:val="282828"/>
          <w:sz w:val="21"/>
        </w:rPr>
        <w:t>Supporting Technical References &amp; Academic Literature:</w:t>
      </w:r>
    </w:p>
    <w:p>
      <w:pPr>
        <w:spacing w:line="276" w:lineRule="auto" w:after="40"/>
      </w:pPr>
      <w:r>
        <w:rPr>
          <w:rFonts w:ascii="Calibri" w:hAnsi="Calibri"/>
          <w:color w:val="64748B"/>
          <w:sz w:val="18"/>
        </w:rPr>
        <w:t>1. Smith, G. &amp; Kirubi, R. (2016). 'Video Game Sales with Ratings Dataset'. Kaggle Data Repository.</w:t>
      </w:r>
    </w:p>
    <w:p>
      <w:pPr>
        <w:spacing w:line="276" w:lineRule="auto" w:after="40"/>
      </w:pPr>
      <w:r>
        <w:rPr>
          <w:rFonts w:ascii="Calibri" w:hAnsi="Calibri"/>
          <w:color w:val="64748B"/>
          <w:sz w:val="18"/>
        </w:rPr>
        <w:t>2. De Vany, A. &amp; Walls, W. D. (1999). 'Uncertainty in the Movie Industry: Does Star Power or a Quality Bias Influence the Box Office?' Journal of Cultural Economics, 23(4), 285-318.</w:t>
      </w:r>
    </w:p>
    <w:p>
      <w:pPr>
        <w:spacing w:line="276" w:lineRule="auto" w:after="40"/>
      </w:pPr>
      <w:r>
        <w:rPr>
          <w:rFonts w:ascii="Calibri" w:hAnsi="Calibri"/>
          <w:color w:val="64748B"/>
          <w:sz w:val="18"/>
        </w:rPr>
        <w:t>3. Breiman, L. (2001). 'Random Forests'. Machine Learning, 45(1), 5-32.</w:t>
      </w:r>
    </w:p>
    <w:p>
      <w:pPr>
        <w:spacing w:line="276" w:lineRule="auto" w:after="40"/>
      </w:pPr>
      <w:r>
        <w:rPr>
          <w:rFonts w:ascii="Calibri" w:hAnsi="Calibri"/>
          <w:color w:val="64748B"/>
          <w:sz w:val="18"/>
        </w:rPr>
        <w:t>4. Pedregosa, F. et al. (2011). 'Scikit-learn: Machine Learning in Python'. Journal of Machine Learning Research, 12, 2825-2830.</w:t>
      </w:r>
    </w:p>
    <w:p>
      <w:pPr>
        <w:spacing w:line="276" w:lineRule="auto" w:after="40"/>
      </w:pPr>
      <w:r>
        <w:rPr>
          <w:rFonts w:ascii="Calibri" w:hAnsi="Calibri"/>
          <w:color w:val="64748B"/>
          <w:sz w:val="18"/>
        </w:rPr>
        <w:t>5. Streamlit Documentation (2024). 'Caching and State Management in Interactive Analytical Applications'. Snowflake Computing.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IBM SkillsBuild Internship Track • Video Game Revenue Forecasting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