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4EF1" w14:textId="77777777" w:rsidR="00ED2282" w:rsidRDefault="00ED2282" w:rsidP="00ED2282">
      <w:pPr>
        <w:pStyle w:val="Heading1"/>
      </w:pPr>
      <w:r>
        <w:rPr>
          <w:color w:val="000066"/>
        </w:rPr>
        <w:t>Editorial</w:t>
      </w:r>
      <w:r>
        <w:rPr>
          <w:color w:val="000066"/>
          <w:spacing w:val="-4"/>
        </w:rPr>
        <w:t xml:space="preserve"> </w:t>
      </w:r>
      <w:r>
        <w:rPr>
          <w:color w:val="000066"/>
        </w:rPr>
        <w:t>aims</w:t>
      </w:r>
      <w:r>
        <w:rPr>
          <w:color w:val="000066"/>
          <w:spacing w:val="-3"/>
        </w:rPr>
        <w:t xml:space="preserve"> </w:t>
      </w:r>
      <w:r>
        <w:rPr>
          <w:color w:val="000066"/>
        </w:rPr>
        <w:t>and</w:t>
      </w:r>
      <w:r>
        <w:rPr>
          <w:color w:val="000066"/>
          <w:spacing w:val="-4"/>
        </w:rPr>
        <w:t xml:space="preserve"> scope</w:t>
      </w:r>
    </w:p>
    <w:p w14:paraId="493D4DF4" w14:textId="77777777" w:rsidR="00ED2282" w:rsidRDefault="00ED2282" w:rsidP="00ED2282">
      <w:pPr>
        <w:pStyle w:val="BodyText"/>
        <w:spacing w:before="13"/>
        <w:ind w:left="0" w:firstLine="0"/>
        <w:rPr>
          <w:b/>
        </w:rPr>
      </w:pPr>
    </w:p>
    <w:p w14:paraId="4FE45611" w14:textId="77777777" w:rsidR="00ED2282" w:rsidRDefault="00ED2282" w:rsidP="00ED2282">
      <w:pPr>
        <w:pStyle w:val="ListParagraph"/>
        <w:widowControl w:val="0"/>
        <w:numPr>
          <w:ilvl w:val="0"/>
          <w:numId w:val="3"/>
        </w:numPr>
        <w:tabs>
          <w:tab w:val="left" w:pos="720"/>
        </w:tabs>
        <w:autoSpaceDE w:val="0"/>
        <w:autoSpaceDN w:val="0"/>
        <w:spacing w:after="0" w:line="240" w:lineRule="auto"/>
        <w:ind w:right="488"/>
        <w:contextualSpacing w:val="0"/>
        <w:rPr>
          <w:rFonts w:ascii="Symbol" w:hAnsi="Symbol"/>
          <w:sz w:val="20"/>
        </w:rPr>
      </w:pPr>
      <w:r>
        <w:rPr>
          <w:sz w:val="22"/>
        </w:rPr>
        <w:t>What</w:t>
      </w:r>
      <w:r>
        <w:rPr>
          <w:spacing w:val="-2"/>
          <w:sz w:val="22"/>
        </w:rPr>
        <w:t xml:space="preserve"> </w:t>
      </w:r>
      <w:r>
        <w:rPr>
          <w:sz w:val="22"/>
        </w:rPr>
        <w:t>are</w:t>
      </w:r>
      <w:r>
        <w:rPr>
          <w:spacing w:val="-4"/>
          <w:sz w:val="22"/>
        </w:rPr>
        <w:t xml:space="preserve"> </w:t>
      </w:r>
      <w:r>
        <w:rPr>
          <w:sz w:val="22"/>
        </w:rPr>
        <w:t>the</w:t>
      </w:r>
      <w:r>
        <w:rPr>
          <w:spacing w:val="-4"/>
          <w:sz w:val="22"/>
        </w:rPr>
        <w:t xml:space="preserve"> </w:t>
      </w:r>
      <w:r>
        <w:rPr>
          <w:sz w:val="22"/>
        </w:rPr>
        <w:t>aims</w:t>
      </w:r>
      <w:r>
        <w:rPr>
          <w:spacing w:val="-5"/>
          <w:sz w:val="22"/>
        </w:rPr>
        <w:t xml:space="preserve"> </w:t>
      </w:r>
      <w:r>
        <w:rPr>
          <w:sz w:val="22"/>
        </w:rPr>
        <w:t>and</w:t>
      </w:r>
      <w:r>
        <w:rPr>
          <w:spacing w:val="-4"/>
          <w:sz w:val="22"/>
        </w:rPr>
        <w:t xml:space="preserve"> </w:t>
      </w:r>
      <w:r>
        <w:rPr>
          <w:sz w:val="22"/>
        </w:rPr>
        <w:t>scope</w:t>
      </w:r>
      <w:r>
        <w:rPr>
          <w:spacing w:val="-2"/>
          <w:sz w:val="22"/>
        </w:rPr>
        <w:t xml:space="preserve"> </w:t>
      </w:r>
      <w:r>
        <w:rPr>
          <w:sz w:val="22"/>
        </w:rPr>
        <w:t>of</w:t>
      </w:r>
      <w:r>
        <w:rPr>
          <w:spacing w:val="-4"/>
          <w:sz w:val="22"/>
        </w:rPr>
        <w:t xml:space="preserve"> </w:t>
      </w:r>
      <w:r>
        <w:rPr>
          <w:sz w:val="22"/>
        </w:rPr>
        <w:t>the</w:t>
      </w:r>
      <w:r>
        <w:rPr>
          <w:spacing w:val="-2"/>
          <w:sz w:val="22"/>
        </w:rPr>
        <w:t xml:space="preserve"> </w:t>
      </w:r>
      <w:r>
        <w:rPr>
          <w:sz w:val="22"/>
        </w:rPr>
        <w:t>journal?</w:t>
      </w:r>
      <w:r>
        <w:rPr>
          <w:spacing w:val="-3"/>
          <w:sz w:val="22"/>
        </w:rPr>
        <w:t xml:space="preserve"> </w:t>
      </w:r>
      <w:r>
        <w:rPr>
          <w:sz w:val="22"/>
        </w:rPr>
        <w:t>If</w:t>
      </w:r>
      <w:r>
        <w:rPr>
          <w:spacing w:val="-2"/>
          <w:sz w:val="22"/>
        </w:rPr>
        <w:t xml:space="preserve"> </w:t>
      </w:r>
      <w:r>
        <w:rPr>
          <w:sz w:val="22"/>
        </w:rPr>
        <w:t>relevant,</w:t>
      </w:r>
      <w:r>
        <w:rPr>
          <w:spacing w:val="-2"/>
          <w:sz w:val="22"/>
        </w:rPr>
        <w:t xml:space="preserve"> </w:t>
      </w:r>
      <w:r>
        <w:rPr>
          <w:sz w:val="22"/>
        </w:rPr>
        <w:t>describe</w:t>
      </w:r>
      <w:r>
        <w:rPr>
          <w:spacing w:val="-4"/>
          <w:sz w:val="22"/>
        </w:rPr>
        <w:t xml:space="preserve"> </w:t>
      </w:r>
      <w:r>
        <w:rPr>
          <w:sz w:val="22"/>
        </w:rPr>
        <w:t>the</w:t>
      </w:r>
      <w:r>
        <w:rPr>
          <w:spacing w:val="-4"/>
          <w:sz w:val="22"/>
        </w:rPr>
        <w:t xml:space="preserve"> </w:t>
      </w:r>
      <w:r>
        <w:rPr>
          <w:sz w:val="22"/>
        </w:rPr>
        <w:t>orientation</w:t>
      </w:r>
      <w:r>
        <w:rPr>
          <w:spacing w:val="-3"/>
          <w:sz w:val="22"/>
        </w:rPr>
        <w:t xml:space="preserve"> </w:t>
      </w:r>
      <w:r>
        <w:rPr>
          <w:sz w:val="22"/>
        </w:rPr>
        <w:t>of the journal (e.g., empirical, theoretical, policy-oriented, clinical, qualitative/quantitative,</w:t>
      </w:r>
      <w:r>
        <w:rPr>
          <w:spacing w:val="-5"/>
          <w:sz w:val="22"/>
        </w:rPr>
        <w:t xml:space="preserve"> </w:t>
      </w:r>
      <w:r>
        <w:rPr>
          <w:sz w:val="22"/>
        </w:rPr>
        <w:t>etc.).</w:t>
      </w:r>
      <w:r>
        <w:rPr>
          <w:spacing w:val="-3"/>
          <w:sz w:val="22"/>
        </w:rPr>
        <w:t xml:space="preserve"> </w:t>
      </w:r>
      <w:r>
        <w:rPr>
          <w:sz w:val="22"/>
        </w:rPr>
        <w:t>Include</w:t>
      </w:r>
      <w:r>
        <w:rPr>
          <w:spacing w:val="-3"/>
          <w:sz w:val="22"/>
        </w:rPr>
        <w:t xml:space="preserve"> </w:t>
      </w:r>
      <w:r>
        <w:rPr>
          <w:sz w:val="22"/>
        </w:rPr>
        <w:t>a</w:t>
      </w:r>
      <w:r>
        <w:rPr>
          <w:spacing w:val="-3"/>
          <w:sz w:val="22"/>
        </w:rPr>
        <w:t xml:space="preserve"> </w:t>
      </w:r>
      <w:r>
        <w:rPr>
          <w:sz w:val="22"/>
        </w:rPr>
        <w:t>defined</w:t>
      </w:r>
      <w:r>
        <w:rPr>
          <w:spacing w:val="-6"/>
          <w:sz w:val="22"/>
        </w:rPr>
        <w:t xml:space="preserve"> </w:t>
      </w:r>
      <w:r>
        <w:rPr>
          <w:sz w:val="22"/>
        </w:rPr>
        <w:t>mission</w:t>
      </w:r>
      <w:r>
        <w:rPr>
          <w:spacing w:val="-4"/>
          <w:sz w:val="22"/>
        </w:rPr>
        <w:t xml:space="preserve"> </w:t>
      </w:r>
      <w:r>
        <w:rPr>
          <w:sz w:val="22"/>
        </w:rPr>
        <w:t>statement</w:t>
      </w:r>
      <w:r>
        <w:rPr>
          <w:spacing w:val="-6"/>
          <w:sz w:val="22"/>
        </w:rPr>
        <w:t xml:space="preserve"> </w:t>
      </w:r>
      <w:r>
        <w:rPr>
          <w:sz w:val="22"/>
        </w:rPr>
        <w:t>as</w:t>
      </w:r>
      <w:r>
        <w:rPr>
          <w:spacing w:val="-3"/>
          <w:sz w:val="22"/>
        </w:rPr>
        <w:t xml:space="preserve"> </w:t>
      </w:r>
      <w:r>
        <w:rPr>
          <w:sz w:val="22"/>
        </w:rPr>
        <w:t>it</w:t>
      </w:r>
      <w:r>
        <w:rPr>
          <w:spacing w:val="-6"/>
          <w:sz w:val="22"/>
        </w:rPr>
        <w:t xml:space="preserve"> </w:t>
      </w:r>
      <w:r>
        <w:rPr>
          <w:sz w:val="22"/>
        </w:rPr>
        <w:t>will</w:t>
      </w:r>
      <w:r>
        <w:rPr>
          <w:spacing w:val="-3"/>
          <w:sz w:val="22"/>
        </w:rPr>
        <w:t xml:space="preserve"> </w:t>
      </w:r>
      <w:r>
        <w:rPr>
          <w:sz w:val="22"/>
        </w:rPr>
        <w:t>appear in the journal.</w:t>
      </w:r>
    </w:p>
    <w:p w14:paraId="05C6AE82" w14:textId="77777777" w:rsidR="00ED2282" w:rsidRDefault="00ED2282" w:rsidP="00ED2282">
      <w:pPr>
        <w:pStyle w:val="ListParagraph"/>
        <w:widowControl w:val="0"/>
        <w:numPr>
          <w:ilvl w:val="0"/>
          <w:numId w:val="3"/>
        </w:numPr>
        <w:tabs>
          <w:tab w:val="left" w:pos="720"/>
        </w:tabs>
        <w:autoSpaceDE w:val="0"/>
        <w:autoSpaceDN w:val="0"/>
        <w:spacing w:after="0" w:line="267" w:lineRule="exact"/>
        <w:contextualSpacing w:val="0"/>
        <w:rPr>
          <w:rFonts w:ascii="Symbol" w:hAnsi="Symbol"/>
          <w:sz w:val="20"/>
        </w:rPr>
      </w:pPr>
      <w:r>
        <w:rPr>
          <w:sz w:val="22"/>
        </w:rPr>
        <w:t>Who</w:t>
      </w:r>
      <w:r>
        <w:rPr>
          <w:spacing w:val="-5"/>
          <w:sz w:val="22"/>
        </w:rPr>
        <w:t xml:space="preserve"> </w:t>
      </w:r>
      <w:r>
        <w:rPr>
          <w:sz w:val="22"/>
        </w:rPr>
        <w:t>is</w:t>
      </w:r>
      <w:r>
        <w:rPr>
          <w:spacing w:val="-5"/>
          <w:sz w:val="22"/>
        </w:rPr>
        <w:t xml:space="preserve"> </w:t>
      </w:r>
      <w:r>
        <w:rPr>
          <w:sz w:val="22"/>
        </w:rPr>
        <w:t>it</w:t>
      </w:r>
      <w:r>
        <w:rPr>
          <w:spacing w:val="-2"/>
          <w:sz w:val="22"/>
        </w:rPr>
        <w:t xml:space="preserve"> </w:t>
      </w:r>
      <w:r>
        <w:rPr>
          <w:sz w:val="22"/>
        </w:rPr>
        <w:t>for,</w:t>
      </w:r>
      <w:r>
        <w:rPr>
          <w:spacing w:val="-2"/>
          <w:sz w:val="22"/>
        </w:rPr>
        <w:t xml:space="preserve"> </w:t>
      </w:r>
      <w:r>
        <w:rPr>
          <w:sz w:val="22"/>
        </w:rPr>
        <w:t>at</w:t>
      </w:r>
      <w:r>
        <w:rPr>
          <w:spacing w:val="-3"/>
          <w:sz w:val="22"/>
        </w:rPr>
        <w:t xml:space="preserve"> </w:t>
      </w:r>
      <w:r>
        <w:rPr>
          <w:sz w:val="22"/>
        </w:rPr>
        <w:t>what</w:t>
      </w:r>
      <w:r>
        <w:rPr>
          <w:spacing w:val="-2"/>
          <w:sz w:val="22"/>
        </w:rPr>
        <w:t xml:space="preserve"> </w:t>
      </w:r>
      <w:r>
        <w:rPr>
          <w:sz w:val="22"/>
        </w:rPr>
        <w:t>intellectual</w:t>
      </w:r>
      <w:r>
        <w:rPr>
          <w:spacing w:val="-3"/>
          <w:sz w:val="22"/>
        </w:rPr>
        <w:t xml:space="preserve"> </w:t>
      </w:r>
      <w:r>
        <w:rPr>
          <w:sz w:val="22"/>
        </w:rPr>
        <w:t>level</w:t>
      </w:r>
      <w:r>
        <w:rPr>
          <w:spacing w:val="-5"/>
          <w:sz w:val="22"/>
        </w:rPr>
        <w:t xml:space="preserve"> </w:t>
      </w:r>
      <w:r>
        <w:rPr>
          <w:sz w:val="22"/>
        </w:rPr>
        <w:t>and</w:t>
      </w:r>
      <w:r>
        <w:rPr>
          <w:spacing w:val="-4"/>
          <w:sz w:val="22"/>
        </w:rPr>
        <w:t xml:space="preserve"> </w:t>
      </w:r>
      <w:r>
        <w:rPr>
          <w:sz w:val="22"/>
        </w:rPr>
        <w:t>what</w:t>
      </w:r>
      <w:r>
        <w:rPr>
          <w:spacing w:val="-5"/>
          <w:sz w:val="22"/>
        </w:rPr>
        <w:t xml:space="preserve"> </w:t>
      </w:r>
      <w:r>
        <w:rPr>
          <w:spacing w:val="-2"/>
          <w:sz w:val="22"/>
        </w:rPr>
        <w:t>disciplines?</w:t>
      </w:r>
    </w:p>
    <w:p w14:paraId="32216D05" w14:textId="77777777" w:rsidR="00ED2282" w:rsidRDefault="00ED2282" w:rsidP="00ED2282">
      <w:pPr>
        <w:pStyle w:val="ListParagraph"/>
        <w:widowControl w:val="0"/>
        <w:numPr>
          <w:ilvl w:val="0"/>
          <w:numId w:val="3"/>
        </w:numPr>
        <w:tabs>
          <w:tab w:val="left" w:pos="720"/>
        </w:tabs>
        <w:autoSpaceDE w:val="0"/>
        <w:autoSpaceDN w:val="0"/>
        <w:spacing w:after="0" w:line="240" w:lineRule="auto"/>
        <w:contextualSpacing w:val="0"/>
        <w:rPr>
          <w:rFonts w:ascii="Symbol" w:hAnsi="Symbol"/>
          <w:sz w:val="20"/>
        </w:rPr>
      </w:pPr>
      <w:r>
        <w:rPr>
          <w:sz w:val="22"/>
        </w:rPr>
        <w:t>What</w:t>
      </w:r>
      <w:r>
        <w:rPr>
          <w:spacing w:val="-4"/>
          <w:sz w:val="22"/>
        </w:rPr>
        <w:t xml:space="preserve"> </w:t>
      </w:r>
      <w:r>
        <w:rPr>
          <w:sz w:val="22"/>
        </w:rPr>
        <w:t>disciplines</w:t>
      </w:r>
      <w:r>
        <w:rPr>
          <w:spacing w:val="-6"/>
          <w:sz w:val="22"/>
        </w:rPr>
        <w:t xml:space="preserve"> </w:t>
      </w:r>
      <w:r>
        <w:rPr>
          <w:sz w:val="22"/>
        </w:rPr>
        <w:t>or</w:t>
      </w:r>
      <w:r>
        <w:rPr>
          <w:spacing w:val="-5"/>
          <w:sz w:val="22"/>
        </w:rPr>
        <w:t xml:space="preserve"> </w:t>
      </w:r>
      <w:r>
        <w:rPr>
          <w:sz w:val="22"/>
        </w:rPr>
        <w:t>sub-disciplines</w:t>
      </w:r>
      <w:r>
        <w:rPr>
          <w:spacing w:val="-3"/>
          <w:sz w:val="22"/>
        </w:rPr>
        <w:t xml:space="preserve"> </w:t>
      </w:r>
      <w:r>
        <w:rPr>
          <w:sz w:val="22"/>
        </w:rPr>
        <w:t>will</w:t>
      </w:r>
      <w:r>
        <w:rPr>
          <w:spacing w:val="-4"/>
          <w:sz w:val="22"/>
        </w:rPr>
        <w:t xml:space="preserve"> </w:t>
      </w:r>
      <w:r>
        <w:rPr>
          <w:sz w:val="22"/>
        </w:rPr>
        <w:t>be</w:t>
      </w:r>
      <w:r>
        <w:rPr>
          <w:spacing w:val="-5"/>
          <w:sz w:val="22"/>
        </w:rPr>
        <w:t xml:space="preserve"> </w:t>
      </w:r>
      <w:r>
        <w:rPr>
          <w:spacing w:val="-2"/>
          <w:sz w:val="22"/>
        </w:rPr>
        <w:t>covered?</w:t>
      </w:r>
    </w:p>
    <w:p w14:paraId="476030B5" w14:textId="77777777" w:rsidR="00ED2282" w:rsidRDefault="00ED2282" w:rsidP="00ED2282">
      <w:pPr>
        <w:pStyle w:val="ListParagraph"/>
        <w:widowControl w:val="0"/>
        <w:numPr>
          <w:ilvl w:val="0"/>
          <w:numId w:val="3"/>
        </w:numPr>
        <w:tabs>
          <w:tab w:val="left" w:pos="720"/>
        </w:tabs>
        <w:autoSpaceDE w:val="0"/>
        <w:autoSpaceDN w:val="0"/>
        <w:spacing w:after="0" w:line="240" w:lineRule="auto"/>
        <w:ind w:right="328"/>
        <w:contextualSpacing w:val="0"/>
        <w:rPr>
          <w:rFonts w:ascii="Symbol" w:hAnsi="Symbol"/>
          <w:sz w:val="20"/>
        </w:rPr>
      </w:pPr>
      <w:r>
        <w:rPr>
          <w:sz w:val="22"/>
        </w:rPr>
        <w:t>Include</w:t>
      </w:r>
      <w:r>
        <w:rPr>
          <w:spacing w:val="-3"/>
          <w:sz w:val="22"/>
        </w:rPr>
        <w:t xml:space="preserve"> </w:t>
      </w:r>
      <w:r>
        <w:rPr>
          <w:sz w:val="22"/>
        </w:rPr>
        <w:t>at</w:t>
      </w:r>
      <w:r>
        <w:rPr>
          <w:spacing w:val="-3"/>
          <w:sz w:val="22"/>
        </w:rPr>
        <w:t xml:space="preserve"> </w:t>
      </w:r>
      <w:r>
        <w:rPr>
          <w:sz w:val="22"/>
        </w:rPr>
        <w:t>least</w:t>
      </w:r>
      <w:r>
        <w:rPr>
          <w:spacing w:val="-2"/>
          <w:sz w:val="22"/>
        </w:rPr>
        <w:t xml:space="preserve"> </w:t>
      </w:r>
      <w:r>
        <w:rPr>
          <w:sz w:val="22"/>
        </w:rPr>
        <w:t>two</w:t>
      </w:r>
      <w:r>
        <w:rPr>
          <w:spacing w:val="-3"/>
          <w:sz w:val="22"/>
        </w:rPr>
        <w:t xml:space="preserve"> </w:t>
      </w:r>
      <w:r>
        <w:rPr>
          <w:sz w:val="22"/>
        </w:rPr>
        <w:t>sample</w:t>
      </w:r>
      <w:r>
        <w:rPr>
          <w:spacing w:val="-6"/>
          <w:sz w:val="22"/>
        </w:rPr>
        <w:t xml:space="preserve"> </w:t>
      </w:r>
      <w:r>
        <w:rPr>
          <w:sz w:val="22"/>
        </w:rPr>
        <w:t>tables</w:t>
      </w:r>
      <w:r>
        <w:rPr>
          <w:spacing w:val="-5"/>
          <w:sz w:val="22"/>
        </w:rPr>
        <w:t xml:space="preserve"> </w:t>
      </w:r>
      <w:r>
        <w:rPr>
          <w:sz w:val="22"/>
        </w:rPr>
        <w:t>of</w:t>
      </w:r>
      <w:r>
        <w:rPr>
          <w:spacing w:val="-3"/>
          <w:sz w:val="22"/>
        </w:rPr>
        <w:t xml:space="preserve"> </w:t>
      </w:r>
      <w:r>
        <w:rPr>
          <w:sz w:val="22"/>
        </w:rPr>
        <w:t>contents.</w:t>
      </w:r>
      <w:r>
        <w:rPr>
          <w:spacing w:val="-3"/>
          <w:sz w:val="22"/>
        </w:rPr>
        <w:t xml:space="preserve"> </w:t>
      </w:r>
      <w:r>
        <w:rPr>
          <w:sz w:val="22"/>
        </w:rPr>
        <w:t>The</w:t>
      </w:r>
      <w:r>
        <w:rPr>
          <w:spacing w:val="-3"/>
          <w:sz w:val="22"/>
        </w:rPr>
        <w:t xml:space="preserve"> </w:t>
      </w:r>
      <w:r>
        <w:rPr>
          <w:sz w:val="22"/>
        </w:rPr>
        <w:t>titles/authors</w:t>
      </w:r>
      <w:r>
        <w:rPr>
          <w:spacing w:val="-3"/>
          <w:sz w:val="22"/>
        </w:rPr>
        <w:t xml:space="preserve"> </w:t>
      </w:r>
      <w:r>
        <w:rPr>
          <w:sz w:val="22"/>
        </w:rPr>
        <w:t>need</w:t>
      </w:r>
      <w:r>
        <w:rPr>
          <w:spacing w:val="-4"/>
          <w:sz w:val="22"/>
        </w:rPr>
        <w:t xml:space="preserve"> </w:t>
      </w:r>
      <w:r>
        <w:rPr>
          <w:sz w:val="22"/>
        </w:rPr>
        <w:t>not</w:t>
      </w:r>
      <w:r>
        <w:rPr>
          <w:spacing w:val="-3"/>
          <w:sz w:val="22"/>
        </w:rPr>
        <w:t xml:space="preserve"> </w:t>
      </w:r>
      <w:r>
        <w:rPr>
          <w:sz w:val="22"/>
        </w:rPr>
        <w:t>represent actual articles, but more a vision of your ideal content.</w:t>
      </w:r>
    </w:p>
    <w:p w14:paraId="50396C11" w14:textId="77777777" w:rsidR="00ED2282" w:rsidRDefault="00ED2282" w:rsidP="00ED2282">
      <w:pPr>
        <w:pStyle w:val="BodyText"/>
        <w:spacing w:before="1"/>
        <w:ind w:left="0" w:firstLine="0"/>
      </w:pPr>
    </w:p>
    <w:p w14:paraId="45F3999F" w14:textId="77777777" w:rsidR="00ED2282" w:rsidRDefault="00ED2282" w:rsidP="00ED2282">
      <w:pPr>
        <w:pStyle w:val="BodyText"/>
        <w:ind w:right="536" w:firstLine="0"/>
      </w:pPr>
      <w:r>
        <w:t>It</w:t>
      </w:r>
      <w:r>
        <w:rPr>
          <w:spacing w:val="-3"/>
        </w:rPr>
        <w:t xml:space="preserve"> </w:t>
      </w:r>
      <w:r>
        <w:t>is</w:t>
      </w:r>
      <w:r>
        <w:rPr>
          <w:spacing w:val="-3"/>
        </w:rPr>
        <w:t xml:space="preserve"> </w:t>
      </w:r>
      <w:r>
        <w:t>worth</w:t>
      </w:r>
      <w:r>
        <w:rPr>
          <w:spacing w:val="-3"/>
        </w:rPr>
        <w:t xml:space="preserve"> </w:t>
      </w:r>
      <w:r>
        <w:t>noting</w:t>
      </w:r>
      <w:r>
        <w:rPr>
          <w:spacing w:val="-4"/>
        </w:rPr>
        <w:t xml:space="preserve"> </w:t>
      </w:r>
      <w:r>
        <w:t>that</w:t>
      </w:r>
      <w:r>
        <w:rPr>
          <w:spacing w:val="-3"/>
        </w:rPr>
        <w:t xml:space="preserve"> </w:t>
      </w:r>
      <w:r>
        <w:t>a</w:t>
      </w:r>
      <w:r>
        <w:rPr>
          <w:spacing w:val="-3"/>
        </w:rPr>
        <w:t xml:space="preserve"> </w:t>
      </w:r>
      <w:r>
        <w:t>journal</w:t>
      </w:r>
      <w:r>
        <w:rPr>
          <w:spacing w:val="-3"/>
        </w:rPr>
        <w:t xml:space="preserve"> </w:t>
      </w:r>
      <w:r>
        <w:t>which</w:t>
      </w:r>
      <w:r>
        <w:rPr>
          <w:spacing w:val="-5"/>
        </w:rPr>
        <w:t xml:space="preserve"> </w:t>
      </w:r>
      <w:r>
        <w:t>is</w:t>
      </w:r>
      <w:r>
        <w:rPr>
          <w:spacing w:val="-5"/>
        </w:rPr>
        <w:t xml:space="preserve"> </w:t>
      </w:r>
      <w:r>
        <w:t>extremely</w:t>
      </w:r>
      <w:r>
        <w:rPr>
          <w:spacing w:val="-3"/>
        </w:rPr>
        <w:t xml:space="preserve"> </w:t>
      </w:r>
      <w:r>
        <w:t>diffuse</w:t>
      </w:r>
      <w:r>
        <w:rPr>
          <w:spacing w:val="-2"/>
        </w:rPr>
        <w:t xml:space="preserve"> </w:t>
      </w:r>
      <w:r>
        <w:t>in</w:t>
      </w:r>
      <w:r>
        <w:rPr>
          <w:spacing w:val="-5"/>
        </w:rPr>
        <w:t xml:space="preserve"> </w:t>
      </w:r>
      <w:r>
        <w:t>its</w:t>
      </w:r>
      <w:r>
        <w:rPr>
          <w:spacing w:val="-5"/>
        </w:rPr>
        <w:t xml:space="preserve"> </w:t>
      </w:r>
      <w:r>
        <w:t>cross-disciplinarity is usually the most difficult to make commercially viable, since it requires considerable (and therefore expensive) promotional coverage of a number of different areas. If at all possible, you should try and identify some 'core' target fields within which would be found the main audiences for the journal.</w:t>
      </w:r>
    </w:p>
    <w:p w14:paraId="2D59539C" w14:textId="77777777" w:rsidR="00ED2282" w:rsidRDefault="00ED2282" w:rsidP="00ED2282">
      <w:pPr>
        <w:pStyle w:val="BodyText"/>
        <w:spacing w:before="11"/>
        <w:ind w:left="0" w:firstLine="0"/>
      </w:pPr>
    </w:p>
    <w:p w14:paraId="56E96242" w14:textId="77777777" w:rsidR="00ED2282" w:rsidRDefault="00ED2282" w:rsidP="00ED2282">
      <w:pPr>
        <w:pStyle w:val="ListParagraph"/>
        <w:widowControl w:val="0"/>
        <w:numPr>
          <w:ilvl w:val="0"/>
          <w:numId w:val="3"/>
        </w:numPr>
        <w:tabs>
          <w:tab w:val="left" w:pos="720"/>
        </w:tabs>
        <w:autoSpaceDE w:val="0"/>
        <w:autoSpaceDN w:val="0"/>
        <w:spacing w:before="1" w:after="0" w:line="240" w:lineRule="auto"/>
        <w:ind w:right="582"/>
        <w:contextualSpacing w:val="0"/>
        <w:jc w:val="both"/>
        <w:rPr>
          <w:rFonts w:ascii="Symbol" w:hAnsi="Symbol"/>
          <w:sz w:val="20"/>
        </w:rPr>
      </w:pPr>
      <w:r>
        <w:rPr>
          <w:sz w:val="22"/>
        </w:rPr>
        <w:t>How</w:t>
      </w:r>
      <w:r>
        <w:rPr>
          <w:spacing w:val="-1"/>
          <w:sz w:val="22"/>
        </w:rPr>
        <w:t xml:space="preserve"> </w:t>
      </w:r>
      <w:r>
        <w:rPr>
          <w:sz w:val="22"/>
        </w:rPr>
        <w:t>international</w:t>
      </w:r>
      <w:r>
        <w:rPr>
          <w:spacing w:val="-2"/>
          <w:sz w:val="22"/>
        </w:rPr>
        <w:t xml:space="preserve"> </w:t>
      </w:r>
      <w:r>
        <w:rPr>
          <w:sz w:val="22"/>
        </w:rPr>
        <w:t>will</w:t>
      </w:r>
      <w:r>
        <w:rPr>
          <w:spacing w:val="-5"/>
          <w:sz w:val="22"/>
        </w:rPr>
        <w:t xml:space="preserve"> </w:t>
      </w:r>
      <w:r>
        <w:rPr>
          <w:sz w:val="22"/>
        </w:rPr>
        <w:t>the</w:t>
      </w:r>
      <w:r>
        <w:rPr>
          <w:spacing w:val="-2"/>
          <w:sz w:val="22"/>
        </w:rPr>
        <w:t xml:space="preserve"> </w:t>
      </w:r>
      <w:r>
        <w:rPr>
          <w:sz w:val="22"/>
        </w:rPr>
        <w:t>journal</w:t>
      </w:r>
      <w:r>
        <w:rPr>
          <w:spacing w:val="-2"/>
          <w:sz w:val="22"/>
        </w:rPr>
        <w:t xml:space="preserve"> </w:t>
      </w:r>
      <w:r>
        <w:rPr>
          <w:sz w:val="22"/>
        </w:rPr>
        <w:t>be</w:t>
      </w:r>
      <w:r>
        <w:rPr>
          <w:spacing w:val="-2"/>
          <w:sz w:val="22"/>
        </w:rPr>
        <w:t xml:space="preserve"> </w:t>
      </w:r>
      <w:r>
        <w:rPr>
          <w:sz w:val="22"/>
        </w:rPr>
        <w:t>and</w:t>
      </w:r>
      <w:r>
        <w:rPr>
          <w:spacing w:val="-4"/>
          <w:sz w:val="22"/>
        </w:rPr>
        <w:t xml:space="preserve"> </w:t>
      </w:r>
      <w:r>
        <w:rPr>
          <w:sz w:val="22"/>
        </w:rPr>
        <w:t>how</w:t>
      </w:r>
      <w:r>
        <w:rPr>
          <w:spacing w:val="-4"/>
          <w:sz w:val="22"/>
        </w:rPr>
        <w:t xml:space="preserve"> </w:t>
      </w:r>
      <w:r>
        <w:rPr>
          <w:sz w:val="22"/>
        </w:rPr>
        <w:t>will</w:t>
      </w:r>
      <w:r>
        <w:rPr>
          <w:spacing w:val="-2"/>
          <w:sz w:val="22"/>
        </w:rPr>
        <w:t xml:space="preserve"> </w:t>
      </w:r>
      <w:r>
        <w:rPr>
          <w:sz w:val="22"/>
        </w:rPr>
        <w:t>this</w:t>
      </w:r>
      <w:r>
        <w:rPr>
          <w:spacing w:val="-5"/>
          <w:sz w:val="22"/>
        </w:rPr>
        <w:t xml:space="preserve"> </w:t>
      </w:r>
      <w:r>
        <w:rPr>
          <w:sz w:val="22"/>
        </w:rPr>
        <w:t>be</w:t>
      </w:r>
      <w:r>
        <w:rPr>
          <w:spacing w:val="-2"/>
          <w:sz w:val="22"/>
        </w:rPr>
        <w:t xml:space="preserve"> </w:t>
      </w:r>
      <w:r>
        <w:rPr>
          <w:sz w:val="22"/>
        </w:rPr>
        <w:t>reflected</w:t>
      </w:r>
      <w:r>
        <w:rPr>
          <w:spacing w:val="-5"/>
          <w:sz w:val="22"/>
        </w:rPr>
        <w:t xml:space="preserve"> </w:t>
      </w:r>
      <w:r>
        <w:rPr>
          <w:sz w:val="22"/>
        </w:rPr>
        <w:t>in</w:t>
      </w:r>
      <w:r>
        <w:rPr>
          <w:spacing w:val="-2"/>
          <w:sz w:val="22"/>
        </w:rPr>
        <w:t xml:space="preserve"> </w:t>
      </w:r>
      <w:r>
        <w:rPr>
          <w:sz w:val="22"/>
        </w:rPr>
        <w:t>the</w:t>
      </w:r>
      <w:r>
        <w:rPr>
          <w:spacing w:val="-4"/>
          <w:sz w:val="22"/>
        </w:rPr>
        <w:t xml:space="preserve"> </w:t>
      </w:r>
      <w:r>
        <w:rPr>
          <w:sz w:val="22"/>
        </w:rPr>
        <w:t>editorial objectives? For example, how will</w:t>
      </w:r>
      <w:r>
        <w:rPr>
          <w:spacing w:val="-2"/>
          <w:sz w:val="22"/>
        </w:rPr>
        <w:t xml:space="preserve"> </w:t>
      </w:r>
      <w:r>
        <w:rPr>
          <w:sz w:val="22"/>
        </w:rPr>
        <w:t>you</w:t>
      </w:r>
      <w:r>
        <w:rPr>
          <w:spacing w:val="-2"/>
          <w:sz w:val="22"/>
        </w:rPr>
        <w:t xml:space="preserve"> </w:t>
      </w:r>
      <w:r>
        <w:rPr>
          <w:sz w:val="22"/>
        </w:rPr>
        <w:t>ensure that you receive contributions from other countries of the world?</w:t>
      </w:r>
    </w:p>
    <w:p w14:paraId="526B6EF8" w14:textId="77777777" w:rsidR="00ED2282" w:rsidRDefault="00ED2282" w:rsidP="00ED2282">
      <w:pPr>
        <w:pStyle w:val="BodyText"/>
        <w:spacing w:before="10"/>
        <w:ind w:left="0" w:firstLine="0"/>
      </w:pPr>
    </w:p>
    <w:p w14:paraId="7E8CF6A2" w14:textId="77777777" w:rsidR="00ED2282" w:rsidRDefault="00ED2282" w:rsidP="00ED2282">
      <w:pPr>
        <w:pStyle w:val="BodyText"/>
        <w:ind w:right="536" w:firstLine="0"/>
      </w:pPr>
      <w:r>
        <w:t>Again, you should note that it is generally important to us that a journal is truly international</w:t>
      </w:r>
      <w:r>
        <w:rPr>
          <w:spacing w:val="-4"/>
        </w:rPr>
        <w:t xml:space="preserve"> </w:t>
      </w:r>
      <w:r>
        <w:t>in</w:t>
      </w:r>
      <w:r>
        <w:rPr>
          <w:spacing w:val="-1"/>
        </w:rPr>
        <w:t xml:space="preserve"> </w:t>
      </w:r>
      <w:r>
        <w:t>its</w:t>
      </w:r>
      <w:r>
        <w:rPr>
          <w:spacing w:val="-1"/>
        </w:rPr>
        <w:t xml:space="preserve"> </w:t>
      </w:r>
      <w:r>
        <w:t>scope,</w:t>
      </w:r>
      <w:r>
        <w:rPr>
          <w:spacing w:val="-1"/>
        </w:rPr>
        <w:t xml:space="preserve"> </w:t>
      </w:r>
      <w:r>
        <w:t>both</w:t>
      </w:r>
      <w:r>
        <w:rPr>
          <w:spacing w:val="-1"/>
        </w:rPr>
        <w:t xml:space="preserve"> </w:t>
      </w:r>
      <w:r>
        <w:t>in</w:t>
      </w:r>
      <w:r>
        <w:rPr>
          <w:spacing w:val="-2"/>
        </w:rPr>
        <w:t xml:space="preserve"> </w:t>
      </w:r>
      <w:r>
        <w:t>terms</w:t>
      </w:r>
      <w:r>
        <w:rPr>
          <w:spacing w:val="-3"/>
        </w:rPr>
        <w:t xml:space="preserve"> </w:t>
      </w:r>
      <w:r>
        <w:t>of</w:t>
      </w:r>
      <w:r>
        <w:rPr>
          <w:spacing w:val="-1"/>
        </w:rPr>
        <w:t xml:space="preserve"> </w:t>
      </w:r>
      <w:r>
        <w:t>contributions</w:t>
      </w:r>
      <w:r>
        <w:rPr>
          <w:spacing w:val="-1"/>
        </w:rPr>
        <w:t xml:space="preserve"> </w:t>
      </w:r>
      <w:r>
        <w:t>and</w:t>
      </w:r>
      <w:r>
        <w:rPr>
          <w:spacing w:val="-3"/>
        </w:rPr>
        <w:t xml:space="preserve"> </w:t>
      </w:r>
      <w:r>
        <w:t>editorial</w:t>
      </w:r>
      <w:r>
        <w:rPr>
          <w:spacing w:val="-1"/>
        </w:rPr>
        <w:t xml:space="preserve"> </w:t>
      </w:r>
      <w:r>
        <w:t>structure.</w:t>
      </w:r>
      <w:r>
        <w:rPr>
          <w:spacing w:val="-1"/>
        </w:rPr>
        <w:t xml:space="preserve"> </w:t>
      </w:r>
      <w:r>
        <w:t>It is also a 'fact of journal life' that in most instances a journal's long term financial viability is dependent on obtaining a significant proportion of its subscriptions in America. You should address the need to appeal to the global market and any implications,</w:t>
      </w:r>
      <w:r>
        <w:rPr>
          <w:spacing w:val="-3"/>
        </w:rPr>
        <w:t xml:space="preserve"> </w:t>
      </w:r>
      <w:r>
        <w:t>for</w:t>
      </w:r>
      <w:r>
        <w:rPr>
          <w:spacing w:val="-3"/>
        </w:rPr>
        <w:t xml:space="preserve"> </w:t>
      </w:r>
      <w:r>
        <w:t>example,</w:t>
      </w:r>
      <w:r>
        <w:rPr>
          <w:spacing w:val="-5"/>
        </w:rPr>
        <w:t xml:space="preserve"> </w:t>
      </w:r>
      <w:r>
        <w:t>of</w:t>
      </w:r>
      <w:r>
        <w:rPr>
          <w:spacing w:val="-3"/>
        </w:rPr>
        <w:t xml:space="preserve"> </w:t>
      </w:r>
      <w:r>
        <w:t>possible</w:t>
      </w:r>
      <w:r>
        <w:rPr>
          <w:spacing w:val="-3"/>
        </w:rPr>
        <w:t xml:space="preserve"> </w:t>
      </w:r>
      <w:r>
        <w:t>key</w:t>
      </w:r>
      <w:r>
        <w:rPr>
          <w:spacing w:val="-4"/>
        </w:rPr>
        <w:t xml:space="preserve"> </w:t>
      </w:r>
      <w:r>
        <w:t>differences,</w:t>
      </w:r>
      <w:r>
        <w:rPr>
          <w:spacing w:val="-5"/>
        </w:rPr>
        <w:t xml:space="preserve"> </w:t>
      </w:r>
      <w:r>
        <w:t>approaches</w:t>
      </w:r>
      <w:r>
        <w:rPr>
          <w:spacing w:val="-5"/>
        </w:rPr>
        <w:t xml:space="preserve"> </w:t>
      </w:r>
      <w:r>
        <w:t>and</w:t>
      </w:r>
      <w:r>
        <w:rPr>
          <w:spacing w:val="-5"/>
        </w:rPr>
        <w:t xml:space="preserve"> </w:t>
      </w:r>
      <w:r>
        <w:t>interests</w:t>
      </w:r>
      <w:r>
        <w:rPr>
          <w:spacing w:val="-3"/>
        </w:rPr>
        <w:t xml:space="preserve"> </w:t>
      </w:r>
      <w:r>
        <w:t>in the field(s) covered between the continents.</w:t>
      </w:r>
    </w:p>
    <w:p w14:paraId="00DE9D31" w14:textId="77777777" w:rsidR="00ED2282" w:rsidRDefault="00ED2282" w:rsidP="00ED2282">
      <w:pPr>
        <w:pStyle w:val="BodyText"/>
        <w:spacing w:before="15"/>
        <w:ind w:left="0" w:firstLine="0"/>
      </w:pPr>
    </w:p>
    <w:p w14:paraId="7741097C" w14:textId="77777777" w:rsidR="00ED2282" w:rsidRDefault="00ED2282" w:rsidP="00ED2282">
      <w:pPr>
        <w:pStyle w:val="ListParagraph"/>
        <w:widowControl w:val="0"/>
        <w:numPr>
          <w:ilvl w:val="0"/>
          <w:numId w:val="3"/>
        </w:numPr>
        <w:tabs>
          <w:tab w:val="left" w:pos="720"/>
        </w:tabs>
        <w:autoSpaceDE w:val="0"/>
        <w:autoSpaceDN w:val="0"/>
        <w:spacing w:after="0" w:line="240" w:lineRule="auto"/>
        <w:ind w:right="500"/>
        <w:contextualSpacing w:val="0"/>
        <w:rPr>
          <w:rFonts w:ascii="Symbol" w:hAnsi="Symbol"/>
          <w:sz w:val="20"/>
        </w:rPr>
      </w:pPr>
      <w:r>
        <w:rPr>
          <w:sz w:val="22"/>
        </w:rPr>
        <w:t>What</w:t>
      </w:r>
      <w:r>
        <w:rPr>
          <w:spacing w:val="-3"/>
          <w:sz w:val="22"/>
        </w:rPr>
        <w:t xml:space="preserve"> </w:t>
      </w:r>
      <w:r>
        <w:rPr>
          <w:sz w:val="22"/>
        </w:rPr>
        <w:t>intentions,</w:t>
      </w:r>
      <w:r>
        <w:rPr>
          <w:spacing w:val="-6"/>
          <w:sz w:val="22"/>
        </w:rPr>
        <w:t xml:space="preserve"> </w:t>
      </w:r>
      <w:r>
        <w:rPr>
          <w:sz w:val="22"/>
        </w:rPr>
        <w:t>if</w:t>
      </w:r>
      <w:r>
        <w:rPr>
          <w:spacing w:val="-3"/>
          <w:sz w:val="22"/>
        </w:rPr>
        <w:t xml:space="preserve"> </w:t>
      </w:r>
      <w:r>
        <w:rPr>
          <w:sz w:val="22"/>
        </w:rPr>
        <w:t>any,</w:t>
      </w:r>
      <w:r>
        <w:rPr>
          <w:spacing w:val="-5"/>
          <w:sz w:val="22"/>
        </w:rPr>
        <w:t xml:space="preserve"> </w:t>
      </w:r>
      <w:r>
        <w:rPr>
          <w:sz w:val="22"/>
        </w:rPr>
        <w:t>do</w:t>
      </w:r>
      <w:r>
        <w:rPr>
          <w:spacing w:val="-5"/>
          <w:sz w:val="22"/>
        </w:rPr>
        <w:t xml:space="preserve"> </w:t>
      </w:r>
      <w:r>
        <w:rPr>
          <w:sz w:val="22"/>
        </w:rPr>
        <w:t>you</w:t>
      </w:r>
      <w:r>
        <w:rPr>
          <w:spacing w:val="-4"/>
          <w:sz w:val="22"/>
        </w:rPr>
        <w:t xml:space="preserve"> </w:t>
      </w:r>
      <w:r>
        <w:rPr>
          <w:sz w:val="22"/>
        </w:rPr>
        <w:t>have</w:t>
      </w:r>
      <w:r>
        <w:rPr>
          <w:spacing w:val="-3"/>
          <w:sz w:val="22"/>
        </w:rPr>
        <w:t xml:space="preserve"> </w:t>
      </w:r>
      <w:r>
        <w:rPr>
          <w:sz w:val="22"/>
        </w:rPr>
        <w:t>regarding</w:t>
      </w:r>
      <w:r>
        <w:rPr>
          <w:spacing w:val="-4"/>
          <w:sz w:val="22"/>
        </w:rPr>
        <w:t xml:space="preserve"> </w:t>
      </w:r>
      <w:r>
        <w:rPr>
          <w:sz w:val="22"/>
        </w:rPr>
        <w:t>foreign-language</w:t>
      </w:r>
      <w:r>
        <w:rPr>
          <w:spacing w:val="-3"/>
          <w:sz w:val="22"/>
        </w:rPr>
        <w:t xml:space="preserve"> </w:t>
      </w:r>
      <w:r>
        <w:rPr>
          <w:sz w:val="22"/>
        </w:rPr>
        <w:t>contributions?</w:t>
      </w:r>
      <w:r>
        <w:rPr>
          <w:spacing w:val="-5"/>
          <w:sz w:val="22"/>
        </w:rPr>
        <w:t xml:space="preserve"> </w:t>
      </w:r>
      <w:r>
        <w:rPr>
          <w:sz w:val="22"/>
        </w:rPr>
        <w:t>We would encourage you, for a range of practical reasons, to consider certainly initially, limiting contributions to the English language. If you wish to translate articles, you need to consider a) who would undertake translation and b) how will decisions be reached on articles in languages not known by the Editors?</w:t>
      </w:r>
    </w:p>
    <w:p w14:paraId="587B3F58" w14:textId="77777777" w:rsidR="00ED2282" w:rsidRDefault="00ED2282">
      <w:pPr>
        <w:rPr>
          <w:rFonts w:ascii="Times New Roman" w:eastAsiaTheme="majorEastAsia" w:hAnsi="Times New Roman" w:cs="Times New Roman"/>
          <w:b/>
          <w:color w:val="000066"/>
          <w:u w:val="single"/>
        </w:rPr>
      </w:pPr>
      <w:r>
        <w:rPr>
          <w:rFonts w:cs="Times New Roman"/>
          <w:color w:val="000066"/>
        </w:rPr>
        <w:br w:type="page"/>
      </w:r>
    </w:p>
    <w:p w14:paraId="32B0FC7D" w14:textId="307EDDC2" w:rsidR="0063305F" w:rsidRPr="007E598F" w:rsidRDefault="00ED2282" w:rsidP="0063305F">
      <w:pPr>
        <w:pStyle w:val="Heading1"/>
        <w:spacing w:before="37"/>
        <w:jc w:val="left"/>
        <w:rPr>
          <w:rFonts w:cs="Times New Roman"/>
          <w:sz w:val="24"/>
          <w:szCs w:val="24"/>
        </w:rPr>
      </w:pPr>
      <w:r>
        <w:rPr>
          <w:rFonts w:cs="Times New Roman"/>
          <w:color w:val="000066"/>
          <w:sz w:val="24"/>
          <w:szCs w:val="24"/>
        </w:rPr>
        <w:lastRenderedPageBreak/>
        <w:t>Aims and Scope of journal (incomplete)</w:t>
      </w:r>
    </w:p>
    <w:p w14:paraId="4AD315B6" w14:textId="2662364C" w:rsidR="0063305F" w:rsidRPr="007E598F" w:rsidRDefault="0063305F" w:rsidP="0063305F">
      <w:pPr>
        <w:pStyle w:val="BodyText"/>
        <w:ind w:left="0" w:firstLine="0"/>
        <w:rPr>
          <w:rFonts w:ascii="Times New Roman" w:hAnsi="Times New Roman" w:cs="Times New Roman"/>
          <w:sz w:val="24"/>
          <w:szCs w:val="24"/>
        </w:rPr>
      </w:pPr>
      <w:r w:rsidRPr="007E598F">
        <w:rPr>
          <w:rFonts w:ascii="Times New Roman" w:hAnsi="Times New Roman" w:cs="Times New Roman"/>
          <w:sz w:val="24"/>
          <w:szCs w:val="24"/>
        </w:rPr>
        <w:t>We</w:t>
      </w:r>
      <w:r w:rsidRPr="007E598F">
        <w:rPr>
          <w:rFonts w:ascii="Times New Roman" w:hAnsi="Times New Roman" w:cs="Times New Roman"/>
          <w:spacing w:val="-4"/>
          <w:sz w:val="24"/>
          <w:szCs w:val="24"/>
        </w:rPr>
        <w:t xml:space="preserve"> </w:t>
      </w:r>
      <w:r w:rsidRPr="007E598F">
        <w:rPr>
          <w:rFonts w:ascii="Times New Roman" w:hAnsi="Times New Roman" w:cs="Times New Roman"/>
          <w:sz w:val="24"/>
          <w:szCs w:val="24"/>
        </w:rPr>
        <w:t>are</w:t>
      </w:r>
      <w:r w:rsidRPr="007E598F">
        <w:rPr>
          <w:rFonts w:ascii="Times New Roman" w:hAnsi="Times New Roman" w:cs="Times New Roman"/>
          <w:spacing w:val="-3"/>
          <w:sz w:val="24"/>
          <w:szCs w:val="24"/>
        </w:rPr>
        <w:t xml:space="preserve"> </w:t>
      </w:r>
      <w:r w:rsidRPr="007E598F">
        <w:rPr>
          <w:rFonts w:ascii="Times New Roman" w:hAnsi="Times New Roman" w:cs="Times New Roman"/>
          <w:sz w:val="24"/>
          <w:szCs w:val="24"/>
        </w:rPr>
        <w:t>looking</w:t>
      </w:r>
      <w:r w:rsidRPr="007E598F">
        <w:rPr>
          <w:rFonts w:ascii="Times New Roman" w:hAnsi="Times New Roman" w:cs="Times New Roman"/>
          <w:spacing w:val="-5"/>
          <w:sz w:val="24"/>
          <w:szCs w:val="24"/>
        </w:rPr>
        <w:t xml:space="preserve"> </w:t>
      </w:r>
      <w:r w:rsidRPr="007E598F">
        <w:rPr>
          <w:rFonts w:ascii="Times New Roman" w:hAnsi="Times New Roman" w:cs="Times New Roman"/>
          <w:sz w:val="24"/>
          <w:szCs w:val="24"/>
        </w:rPr>
        <w:t>for</w:t>
      </w:r>
      <w:r w:rsidRPr="007E598F">
        <w:rPr>
          <w:rFonts w:ascii="Times New Roman" w:hAnsi="Times New Roman" w:cs="Times New Roman"/>
          <w:spacing w:val="-3"/>
          <w:sz w:val="24"/>
          <w:szCs w:val="24"/>
        </w:rPr>
        <w:t xml:space="preserve"> </w:t>
      </w:r>
      <w:r w:rsidRPr="007E598F">
        <w:rPr>
          <w:rFonts w:ascii="Times New Roman" w:hAnsi="Times New Roman" w:cs="Times New Roman"/>
          <w:sz w:val="24"/>
          <w:szCs w:val="24"/>
        </w:rPr>
        <w:t>a</w:t>
      </w:r>
      <w:r w:rsidRPr="007E598F">
        <w:rPr>
          <w:rFonts w:ascii="Times New Roman" w:hAnsi="Times New Roman" w:cs="Times New Roman"/>
          <w:spacing w:val="-6"/>
          <w:sz w:val="24"/>
          <w:szCs w:val="24"/>
        </w:rPr>
        <w:t xml:space="preserve"> </w:t>
      </w:r>
      <w:r w:rsidRPr="007E598F">
        <w:rPr>
          <w:rFonts w:ascii="Times New Roman" w:hAnsi="Times New Roman" w:cs="Times New Roman"/>
          <w:sz w:val="24"/>
          <w:szCs w:val="24"/>
        </w:rPr>
        <w:t>proposal</w:t>
      </w:r>
      <w:r w:rsidRPr="007E598F">
        <w:rPr>
          <w:rFonts w:ascii="Times New Roman" w:hAnsi="Times New Roman" w:cs="Times New Roman"/>
          <w:spacing w:val="-4"/>
          <w:sz w:val="24"/>
          <w:szCs w:val="24"/>
        </w:rPr>
        <w:t xml:space="preserve"> </w:t>
      </w:r>
      <w:r w:rsidRPr="007E598F">
        <w:rPr>
          <w:rFonts w:ascii="Times New Roman" w:hAnsi="Times New Roman" w:cs="Times New Roman"/>
          <w:sz w:val="24"/>
          <w:szCs w:val="24"/>
        </w:rPr>
        <w:t>which</w:t>
      </w:r>
      <w:r w:rsidRPr="007E598F">
        <w:rPr>
          <w:rFonts w:ascii="Times New Roman" w:hAnsi="Times New Roman" w:cs="Times New Roman"/>
          <w:spacing w:val="-5"/>
          <w:sz w:val="24"/>
          <w:szCs w:val="24"/>
        </w:rPr>
        <w:t xml:space="preserve"> </w:t>
      </w:r>
      <w:r w:rsidR="007E598F" w:rsidRPr="007E598F">
        <w:rPr>
          <w:rFonts w:ascii="Times New Roman" w:hAnsi="Times New Roman" w:cs="Times New Roman"/>
          <w:sz w:val="24"/>
          <w:szCs w:val="24"/>
        </w:rPr>
        <w:t xml:space="preserve">encompasses </w:t>
      </w:r>
      <w:r w:rsidR="007E598F" w:rsidRPr="007E598F">
        <w:rPr>
          <w:rFonts w:ascii="Times New Roman" w:hAnsi="Times New Roman" w:cs="Times New Roman"/>
          <w:spacing w:val="-5"/>
          <w:sz w:val="24"/>
          <w:szCs w:val="24"/>
        </w:rPr>
        <w:t>the</w:t>
      </w:r>
      <w:r w:rsidRPr="007E598F">
        <w:rPr>
          <w:rFonts w:ascii="Times New Roman" w:hAnsi="Times New Roman" w:cs="Times New Roman"/>
          <w:spacing w:val="-4"/>
          <w:sz w:val="24"/>
          <w:szCs w:val="24"/>
        </w:rPr>
        <w:t xml:space="preserve"> </w:t>
      </w:r>
      <w:r w:rsidRPr="007E598F">
        <w:rPr>
          <w:rFonts w:ascii="Times New Roman" w:hAnsi="Times New Roman" w:cs="Times New Roman"/>
          <w:sz w:val="24"/>
          <w:szCs w:val="24"/>
        </w:rPr>
        <w:t>following</w:t>
      </w:r>
      <w:r w:rsidRPr="007E598F">
        <w:rPr>
          <w:rFonts w:ascii="Times New Roman" w:hAnsi="Times New Roman" w:cs="Times New Roman"/>
          <w:spacing w:val="-4"/>
          <w:sz w:val="24"/>
          <w:szCs w:val="24"/>
        </w:rPr>
        <w:t xml:space="preserve"> </w:t>
      </w:r>
      <w:r w:rsidRPr="007E598F">
        <w:rPr>
          <w:rFonts w:ascii="Times New Roman" w:hAnsi="Times New Roman" w:cs="Times New Roman"/>
          <w:sz w:val="24"/>
          <w:szCs w:val="24"/>
        </w:rPr>
        <w:t>key</w:t>
      </w:r>
      <w:r w:rsidRPr="007E598F">
        <w:rPr>
          <w:rFonts w:ascii="Times New Roman" w:hAnsi="Times New Roman" w:cs="Times New Roman"/>
          <w:spacing w:val="-4"/>
          <w:sz w:val="24"/>
          <w:szCs w:val="24"/>
        </w:rPr>
        <w:t xml:space="preserve"> </w:t>
      </w:r>
      <w:r w:rsidRPr="007E598F">
        <w:rPr>
          <w:rFonts w:ascii="Times New Roman" w:hAnsi="Times New Roman" w:cs="Times New Roman"/>
          <w:spacing w:val="-2"/>
          <w:sz w:val="24"/>
          <w:szCs w:val="24"/>
        </w:rPr>
        <w:t>areas:</w:t>
      </w:r>
    </w:p>
    <w:p w14:paraId="1EF4B9D7" w14:textId="77777777" w:rsidR="0063305F" w:rsidRPr="007E598F" w:rsidRDefault="0063305F" w:rsidP="0063305F">
      <w:pPr>
        <w:pStyle w:val="BodyText"/>
        <w:spacing w:before="13"/>
        <w:ind w:left="0" w:firstLine="0"/>
        <w:rPr>
          <w:rFonts w:ascii="Times New Roman" w:hAnsi="Times New Roman" w:cs="Times New Roman"/>
          <w:sz w:val="24"/>
          <w:szCs w:val="24"/>
        </w:rPr>
      </w:pPr>
    </w:p>
    <w:p w14:paraId="2D8A34F7" w14:textId="241E5688" w:rsidR="0063305F" w:rsidRPr="007E598F" w:rsidRDefault="0063305F" w:rsidP="007E598F">
      <w:pPr>
        <w:widowControl w:val="0"/>
        <w:tabs>
          <w:tab w:val="left" w:pos="720"/>
        </w:tabs>
        <w:autoSpaceDE w:val="0"/>
        <w:autoSpaceDN w:val="0"/>
        <w:spacing w:after="0" w:line="267" w:lineRule="exact"/>
        <w:rPr>
          <w:rFonts w:ascii="Times New Roman" w:hAnsi="Times New Roman" w:cs="Times New Roman"/>
          <w:i/>
          <w:iCs/>
          <w:highlight w:val="yellow"/>
        </w:rPr>
      </w:pPr>
      <w:r w:rsidRPr="007E598F">
        <w:rPr>
          <w:rFonts w:ascii="Times New Roman" w:hAnsi="Times New Roman" w:cs="Times New Roman"/>
          <w:i/>
          <w:iCs/>
          <w:highlight w:val="yellow"/>
        </w:rPr>
        <w:t>About</w:t>
      </w:r>
      <w:r w:rsidRPr="007E598F">
        <w:rPr>
          <w:rFonts w:ascii="Times New Roman" w:hAnsi="Times New Roman" w:cs="Times New Roman"/>
          <w:i/>
          <w:iCs/>
          <w:spacing w:val="-2"/>
          <w:highlight w:val="yellow"/>
        </w:rPr>
        <w:t xml:space="preserve"> </w:t>
      </w:r>
      <w:r w:rsidRPr="007E598F">
        <w:rPr>
          <w:rFonts w:ascii="Times New Roman" w:hAnsi="Times New Roman" w:cs="Times New Roman"/>
          <w:i/>
          <w:iCs/>
          <w:highlight w:val="yellow"/>
        </w:rPr>
        <w:t>the</w:t>
      </w:r>
      <w:r w:rsidRPr="007E598F">
        <w:rPr>
          <w:rFonts w:ascii="Times New Roman" w:hAnsi="Times New Roman" w:cs="Times New Roman"/>
          <w:i/>
          <w:iCs/>
          <w:spacing w:val="-3"/>
          <w:highlight w:val="yellow"/>
        </w:rPr>
        <w:t xml:space="preserve"> </w:t>
      </w:r>
      <w:r w:rsidRPr="007E598F">
        <w:rPr>
          <w:rFonts w:ascii="Times New Roman" w:hAnsi="Times New Roman" w:cs="Times New Roman"/>
          <w:i/>
          <w:iCs/>
          <w:spacing w:val="-2"/>
          <w:highlight w:val="yellow"/>
        </w:rPr>
        <w:t>Journal</w:t>
      </w:r>
    </w:p>
    <w:p w14:paraId="60192560" w14:textId="77777777" w:rsidR="0063305F" w:rsidRPr="007E598F" w:rsidRDefault="0063305F" w:rsidP="0063305F">
      <w:pPr>
        <w:widowControl w:val="0"/>
        <w:tabs>
          <w:tab w:val="left" w:pos="720"/>
        </w:tabs>
        <w:autoSpaceDE w:val="0"/>
        <w:autoSpaceDN w:val="0"/>
        <w:spacing w:after="0" w:line="267" w:lineRule="exact"/>
        <w:rPr>
          <w:rFonts w:ascii="Times New Roman" w:hAnsi="Times New Roman" w:cs="Times New Roman"/>
          <w:i/>
          <w:iCs/>
          <w:highlight w:val="yellow"/>
        </w:rPr>
      </w:pPr>
    </w:p>
    <w:p w14:paraId="582E6DB5" w14:textId="274208F1" w:rsidR="0063305F" w:rsidRPr="00497727" w:rsidRDefault="0063305F" w:rsidP="0063305F">
      <w:pPr>
        <w:widowControl w:val="0"/>
        <w:tabs>
          <w:tab w:val="left" w:pos="720"/>
        </w:tabs>
        <w:autoSpaceDE w:val="0"/>
        <w:autoSpaceDN w:val="0"/>
        <w:spacing w:after="0" w:line="267" w:lineRule="exact"/>
        <w:rPr>
          <w:rFonts w:ascii="Times New Roman" w:hAnsi="Times New Roman" w:cs="Times New Roman"/>
        </w:rPr>
      </w:pPr>
      <w:r w:rsidRPr="007E598F">
        <w:rPr>
          <w:rFonts w:ascii="Times New Roman" w:hAnsi="Times New Roman" w:cs="Times New Roman"/>
          <w:b/>
          <w:bCs/>
        </w:rPr>
        <w:t>NITI: Journal of Management Research</w:t>
      </w:r>
      <w:r w:rsidRPr="007E598F">
        <w:rPr>
          <w:rFonts w:ascii="Times New Roman" w:hAnsi="Times New Roman" w:cs="Times New Roman"/>
        </w:rPr>
        <w:t xml:space="preserve"> </w:t>
      </w:r>
      <w:r w:rsidR="0032237D">
        <w:rPr>
          <w:rFonts w:ascii="Times New Roman" w:hAnsi="Times New Roman" w:cs="Times New Roman"/>
        </w:rPr>
        <w:t xml:space="preserve">strives to </w:t>
      </w:r>
      <w:r w:rsidRPr="007E598F">
        <w:rPr>
          <w:rFonts w:ascii="Times New Roman" w:hAnsi="Times New Roman" w:cs="Times New Roman"/>
        </w:rPr>
        <w:t xml:space="preserve">encourage and disseminate high-quality research on the ways in which business, </w:t>
      </w:r>
      <w:r w:rsidR="00497727">
        <w:rPr>
          <w:rFonts w:ascii="Times New Roman" w:hAnsi="Times New Roman" w:cs="Times New Roman"/>
        </w:rPr>
        <w:t xml:space="preserve">institutional and </w:t>
      </w:r>
      <w:r w:rsidR="00497727" w:rsidRPr="00497727">
        <w:t xml:space="preserve"> </w:t>
      </w:r>
      <w:r w:rsidR="00497727" w:rsidRPr="00497727">
        <w:rPr>
          <w:rFonts w:ascii="Times New Roman" w:hAnsi="Times New Roman" w:cs="Times New Roman"/>
        </w:rPr>
        <w:t>public</w:t>
      </w:r>
      <w:r w:rsidRPr="007E598F">
        <w:rPr>
          <w:rFonts w:ascii="Times New Roman" w:hAnsi="Times New Roman" w:cs="Times New Roman"/>
        </w:rPr>
        <w:t xml:space="preserve"> policies shape management practice, governance and societal outcomes. The journal emphasizes the dynamic relationship between institutional performance, </w:t>
      </w:r>
      <w:r w:rsidR="0032237D">
        <w:rPr>
          <w:rFonts w:ascii="Times New Roman" w:hAnsi="Times New Roman" w:cs="Times New Roman"/>
        </w:rPr>
        <w:t xml:space="preserve">and policy design </w:t>
      </w:r>
      <w:r w:rsidRPr="007E598F">
        <w:rPr>
          <w:rFonts w:ascii="Times New Roman" w:hAnsi="Times New Roman" w:cs="Times New Roman"/>
        </w:rPr>
        <w:t xml:space="preserve">particularly in the context of emerging economies where policy decisions have profound implications for </w:t>
      </w:r>
      <w:r w:rsidR="00497727">
        <w:rPr>
          <w:rFonts w:ascii="Times New Roman" w:hAnsi="Times New Roman" w:cs="Times New Roman"/>
        </w:rPr>
        <w:t xml:space="preserve">sustainable </w:t>
      </w:r>
      <w:r w:rsidRPr="007E598F">
        <w:rPr>
          <w:rFonts w:ascii="Times New Roman" w:hAnsi="Times New Roman" w:cs="Times New Roman"/>
        </w:rPr>
        <w:t>development</w:t>
      </w:r>
      <w:r w:rsidR="00497727">
        <w:rPr>
          <w:rFonts w:ascii="Times New Roman" w:hAnsi="Times New Roman" w:cs="Times New Roman"/>
        </w:rPr>
        <w:t>.</w:t>
      </w:r>
    </w:p>
    <w:p w14:paraId="0BBF56FB" w14:textId="77777777" w:rsidR="00497727" w:rsidRDefault="00497727" w:rsidP="0063305F">
      <w:pPr>
        <w:widowControl w:val="0"/>
        <w:tabs>
          <w:tab w:val="left" w:pos="720"/>
        </w:tabs>
        <w:autoSpaceDE w:val="0"/>
        <w:autoSpaceDN w:val="0"/>
        <w:spacing w:after="0" w:line="267" w:lineRule="exact"/>
        <w:rPr>
          <w:rFonts w:ascii="Times New Roman" w:hAnsi="Times New Roman" w:cs="Times New Roman"/>
          <w:highlight w:val="yellow"/>
        </w:rPr>
      </w:pPr>
    </w:p>
    <w:p w14:paraId="18568E78" w14:textId="77777777" w:rsidR="00497727" w:rsidRDefault="00497727" w:rsidP="0063305F">
      <w:pPr>
        <w:widowControl w:val="0"/>
        <w:tabs>
          <w:tab w:val="left" w:pos="720"/>
        </w:tabs>
        <w:autoSpaceDE w:val="0"/>
        <w:autoSpaceDN w:val="0"/>
        <w:spacing w:after="0" w:line="267" w:lineRule="exact"/>
        <w:rPr>
          <w:rFonts w:ascii="Times New Roman" w:hAnsi="Times New Roman" w:cs="Times New Roman"/>
          <w:highlight w:val="yellow"/>
        </w:rPr>
      </w:pPr>
    </w:p>
    <w:p w14:paraId="78900E7C" w14:textId="2B5DBA4D" w:rsidR="00497727" w:rsidRDefault="00497727" w:rsidP="0063305F">
      <w:pPr>
        <w:widowControl w:val="0"/>
        <w:tabs>
          <w:tab w:val="left" w:pos="720"/>
        </w:tabs>
        <w:autoSpaceDE w:val="0"/>
        <w:autoSpaceDN w:val="0"/>
        <w:spacing w:after="0" w:line="267" w:lineRule="exact"/>
        <w:rPr>
          <w:rFonts w:ascii="Times New Roman" w:hAnsi="Times New Roman" w:cs="Times New Roman"/>
          <w:highlight w:val="yellow"/>
        </w:rPr>
      </w:pPr>
      <w:r w:rsidRPr="00497727">
        <w:rPr>
          <w:rFonts w:ascii="Times New Roman" w:hAnsi="Times New Roman" w:cs="Times New Roman"/>
          <w:highlight w:val="yellow"/>
        </w:rPr>
        <w:t>By fostering dialogue across disciplines and sectors, NITI provides a platform for scholars, practitioners, and policymakers to critically examine how policies influence institutions and markets. In doing so, the journal bridges theory and practice, offering insights that not only advance academic knowledge but also guide effective and sustainable systems of governance in real-world decision-making.”</w:t>
      </w:r>
    </w:p>
    <w:p w14:paraId="14F5283F" w14:textId="77777777" w:rsidR="00497727" w:rsidRPr="007E598F" w:rsidRDefault="00497727" w:rsidP="0063305F">
      <w:pPr>
        <w:widowControl w:val="0"/>
        <w:tabs>
          <w:tab w:val="left" w:pos="720"/>
        </w:tabs>
        <w:autoSpaceDE w:val="0"/>
        <w:autoSpaceDN w:val="0"/>
        <w:spacing w:after="0" w:line="267" w:lineRule="exact"/>
        <w:rPr>
          <w:rFonts w:ascii="Times New Roman" w:hAnsi="Times New Roman" w:cs="Times New Roman"/>
          <w:highlight w:val="yellow"/>
        </w:rPr>
      </w:pPr>
    </w:p>
    <w:p w14:paraId="351D89D7" w14:textId="38290031" w:rsidR="0063305F" w:rsidRPr="007E598F" w:rsidRDefault="0063305F" w:rsidP="007E598F">
      <w:pPr>
        <w:widowControl w:val="0"/>
        <w:tabs>
          <w:tab w:val="left" w:pos="720"/>
        </w:tabs>
        <w:autoSpaceDE w:val="0"/>
        <w:autoSpaceDN w:val="0"/>
        <w:spacing w:after="0" w:line="267" w:lineRule="exact"/>
        <w:rPr>
          <w:rFonts w:ascii="Times New Roman" w:hAnsi="Times New Roman" w:cs="Times New Roman"/>
          <w:i/>
          <w:iCs/>
          <w:sz w:val="28"/>
          <w:szCs w:val="28"/>
          <w:highlight w:val="yellow"/>
        </w:rPr>
      </w:pPr>
      <w:r w:rsidRPr="007E598F">
        <w:rPr>
          <w:rFonts w:ascii="Times New Roman" w:hAnsi="Times New Roman" w:cs="Times New Roman"/>
          <w:spacing w:val="-2"/>
          <w:sz w:val="28"/>
          <w:szCs w:val="28"/>
          <w:highlight w:val="yellow"/>
        </w:rPr>
        <w:t xml:space="preserve"> </w:t>
      </w:r>
      <w:r w:rsidR="007E598F">
        <w:rPr>
          <w:rFonts w:ascii="Times New Roman" w:hAnsi="Times New Roman" w:cs="Times New Roman"/>
          <w:sz w:val="28"/>
          <w:szCs w:val="28"/>
          <w:highlight w:val="yellow"/>
        </w:rPr>
        <w:t>A</w:t>
      </w:r>
      <w:r w:rsidRPr="007E598F">
        <w:rPr>
          <w:rFonts w:ascii="Times New Roman" w:hAnsi="Times New Roman" w:cs="Times New Roman"/>
          <w:sz w:val="28"/>
          <w:szCs w:val="28"/>
          <w:highlight w:val="yellow"/>
        </w:rPr>
        <w:t>ims</w:t>
      </w:r>
      <w:r w:rsidRPr="007E598F">
        <w:rPr>
          <w:rFonts w:ascii="Times New Roman" w:hAnsi="Times New Roman" w:cs="Times New Roman"/>
          <w:spacing w:val="-1"/>
          <w:sz w:val="28"/>
          <w:szCs w:val="28"/>
          <w:highlight w:val="yellow"/>
        </w:rPr>
        <w:t xml:space="preserve"> </w:t>
      </w:r>
      <w:r w:rsidRPr="007E598F">
        <w:rPr>
          <w:rFonts w:ascii="Times New Roman" w:hAnsi="Times New Roman" w:cs="Times New Roman"/>
          <w:sz w:val="28"/>
          <w:szCs w:val="28"/>
          <w:highlight w:val="yellow"/>
        </w:rPr>
        <w:t>and</w:t>
      </w:r>
      <w:r w:rsidRPr="007E598F">
        <w:rPr>
          <w:rFonts w:ascii="Times New Roman" w:hAnsi="Times New Roman" w:cs="Times New Roman"/>
          <w:spacing w:val="-3"/>
          <w:sz w:val="28"/>
          <w:szCs w:val="28"/>
          <w:highlight w:val="yellow"/>
        </w:rPr>
        <w:t xml:space="preserve"> </w:t>
      </w:r>
      <w:r w:rsidRPr="007E598F">
        <w:rPr>
          <w:rFonts w:ascii="Times New Roman" w:hAnsi="Times New Roman" w:cs="Times New Roman"/>
          <w:sz w:val="28"/>
          <w:szCs w:val="28"/>
          <w:highlight w:val="yellow"/>
        </w:rPr>
        <w:t>scope</w:t>
      </w:r>
      <w:r w:rsidRPr="007E598F">
        <w:rPr>
          <w:rFonts w:ascii="Times New Roman" w:hAnsi="Times New Roman" w:cs="Times New Roman"/>
          <w:spacing w:val="-3"/>
          <w:sz w:val="28"/>
          <w:szCs w:val="28"/>
          <w:highlight w:val="yellow"/>
        </w:rPr>
        <w:t xml:space="preserve"> </w:t>
      </w:r>
      <w:r w:rsidRPr="007E598F">
        <w:rPr>
          <w:rFonts w:ascii="Times New Roman" w:hAnsi="Times New Roman" w:cs="Times New Roman"/>
          <w:sz w:val="28"/>
          <w:szCs w:val="28"/>
          <w:highlight w:val="yellow"/>
        </w:rPr>
        <w:t>of</w:t>
      </w:r>
      <w:r w:rsidRPr="007E598F">
        <w:rPr>
          <w:rFonts w:ascii="Times New Roman" w:hAnsi="Times New Roman" w:cs="Times New Roman"/>
          <w:spacing w:val="-4"/>
          <w:sz w:val="28"/>
          <w:szCs w:val="28"/>
          <w:highlight w:val="yellow"/>
        </w:rPr>
        <w:t xml:space="preserve"> </w:t>
      </w:r>
      <w:r w:rsidRPr="007E598F">
        <w:rPr>
          <w:rFonts w:ascii="Times New Roman" w:hAnsi="Times New Roman" w:cs="Times New Roman"/>
          <w:sz w:val="28"/>
          <w:szCs w:val="28"/>
          <w:highlight w:val="yellow"/>
        </w:rPr>
        <w:t>the</w:t>
      </w:r>
      <w:r w:rsidRPr="007E598F">
        <w:rPr>
          <w:rFonts w:ascii="Times New Roman" w:hAnsi="Times New Roman" w:cs="Times New Roman"/>
          <w:spacing w:val="-1"/>
          <w:sz w:val="28"/>
          <w:szCs w:val="28"/>
          <w:highlight w:val="yellow"/>
        </w:rPr>
        <w:t xml:space="preserve"> </w:t>
      </w:r>
      <w:r w:rsidR="007E598F">
        <w:rPr>
          <w:rFonts w:ascii="Times New Roman" w:hAnsi="Times New Roman" w:cs="Times New Roman"/>
          <w:spacing w:val="-2"/>
          <w:sz w:val="28"/>
          <w:szCs w:val="28"/>
          <w:highlight w:val="yellow"/>
        </w:rPr>
        <w:t>J</w:t>
      </w:r>
      <w:r w:rsidRPr="007E598F">
        <w:rPr>
          <w:rFonts w:ascii="Times New Roman" w:hAnsi="Times New Roman" w:cs="Times New Roman"/>
          <w:spacing w:val="-2"/>
          <w:sz w:val="28"/>
          <w:szCs w:val="28"/>
          <w:highlight w:val="yellow"/>
        </w:rPr>
        <w:t>ournal</w:t>
      </w:r>
    </w:p>
    <w:p w14:paraId="20B0AE5B" w14:textId="77777777" w:rsidR="0063305F" w:rsidRPr="007E598F" w:rsidRDefault="0063305F" w:rsidP="0063305F">
      <w:pPr>
        <w:widowControl w:val="0"/>
        <w:tabs>
          <w:tab w:val="left" w:pos="720"/>
        </w:tabs>
        <w:autoSpaceDE w:val="0"/>
        <w:autoSpaceDN w:val="0"/>
        <w:spacing w:after="0" w:line="267" w:lineRule="exact"/>
        <w:rPr>
          <w:rFonts w:ascii="Times New Roman" w:hAnsi="Times New Roman" w:cs="Times New Roman"/>
          <w:i/>
          <w:iCs/>
          <w:sz w:val="28"/>
          <w:szCs w:val="28"/>
          <w:highlight w:val="yellow"/>
        </w:rPr>
      </w:pPr>
    </w:p>
    <w:p w14:paraId="2F38EC62" w14:textId="59167C2A" w:rsidR="0063305F" w:rsidRPr="007E598F" w:rsidRDefault="0063305F" w:rsidP="0063305F">
      <w:pPr>
        <w:rPr>
          <w:rFonts w:ascii="Times New Roman" w:hAnsi="Times New Roman" w:cs="Times New Roman"/>
        </w:rPr>
      </w:pPr>
      <w:r w:rsidRPr="007E598F">
        <w:rPr>
          <w:rFonts w:ascii="Times New Roman" w:hAnsi="Times New Roman" w:cs="Times New Roman"/>
        </w:rPr>
        <w:t xml:space="preserve">NITI: Journal of Management Research is a peer-reviewed journal dedicated to advancing both scholarly and practice-oriented understanding of </w:t>
      </w:r>
      <w:r w:rsidR="000B77D6">
        <w:rPr>
          <w:rFonts w:ascii="Times New Roman" w:hAnsi="Times New Roman" w:cs="Times New Roman"/>
        </w:rPr>
        <w:t xml:space="preserve">business, institutional and </w:t>
      </w:r>
      <w:r w:rsidRPr="007E598F">
        <w:rPr>
          <w:rFonts w:ascii="Times New Roman" w:hAnsi="Times New Roman" w:cs="Times New Roman"/>
        </w:rPr>
        <w:t xml:space="preserve">public, </w:t>
      </w:r>
      <w:r w:rsidR="000B77D6">
        <w:rPr>
          <w:rFonts w:ascii="Times New Roman" w:hAnsi="Times New Roman" w:cs="Times New Roman"/>
        </w:rPr>
        <w:t>`</w:t>
      </w:r>
      <w:r w:rsidRPr="007E598F">
        <w:rPr>
          <w:rFonts w:ascii="Times New Roman" w:hAnsi="Times New Roman" w:cs="Times New Roman"/>
        </w:rPr>
        <w:t>policies in the context of management and governance. The journal provides a platform for critical inquiry into the role of policies in shaping organizations, markets, and societies, with a particular emphasis on the realities, challenges, and opportunities of emerging economies.</w:t>
      </w:r>
    </w:p>
    <w:p w14:paraId="38AF6E3B" w14:textId="77777777" w:rsidR="0063305F" w:rsidRPr="007E598F" w:rsidRDefault="0063305F" w:rsidP="0063305F">
      <w:pPr>
        <w:rPr>
          <w:rFonts w:ascii="Times New Roman" w:hAnsi="Times New Roman" w:cs="Times New Roman"/>
        </w:rPr>
      </w:pPr>
      <w:r w:rsidRPr="007E598F">
        <w:rPr>
          <w:rFonts w:ascii="Times New Roman" w:hAnsi="Times New Roman" w:cs="Times New Roman"/>
        </w:rPr>
        <w:t>The journal adopts a pluralistic approach to policymaking, encouraging contributions that embrace multiple perspectives, diverse methodologies, and interdisciplinary engagement. NITI welcomes research that examines policies across multiple levels—from organizational and sectoral contexts to national and global governance systems—highlighting their impact on management practices, institutional performance, and socio-economic development.</w:t>
      </w:r>
    </w:p>
    <w:p w14:paraId="594AC562" w14:textId="36D659AC" w:rsidR="00ED2A44" w:rsidRPr="007E598F" w:rsidRDefault="0063305F" w:rsidP="0063305F">
      <w:pPr>
        <w:rPr>
          <w:rFonts w:ascii="Times New Roman" w:hAnsi="Times New Roman" w:cs="Times New Roman"/>
        </w:rPr>
      </w:pPr>
      <w:r w:rsidRPr="007E598F">
        <w:rPr>
          <w:rFonts w:ascii="Times New Roman" w:hAnsi="Times New Roman" w:cs="Times New Roman"/>
        </w:rPr>
        <w:t>In seeking to bridge theory and practice, NITI invites original research, conceptual papers, case studies, and policy analyses that generate actionable insights for leaders, managers, and policymakers. Contributions may address a wide range of themes, including but not limited to sustainable governance, ethical leadership, innovation in policy design and implementation, policy impacts on entrepreneurship and markets, and the interplay between local contexts and global policy trends. By fostering dialogue across disciplines and sectors, NITI aims to deepen understanding of how policies can drive effective, ethical, and sustainable systems of governance—contributing to knowledge creation and informed decision-making in business, government, and society.</w:t>
      </w:r>
    </w:p>
    <w:p w14:paraId="5342670F" w14:textId="68818AFB" w:rsidR="00214D70" w:rsidRPr="007E598F" w:rsidRDefault="007E598F" w:rsidP="00214D70">
      <w:pPr>
        <w:pStyle w:val="ListParagraph"/>
        <w:numPr>
          <w:ilvl w:val="0"/>
          <w:numId w:val="2"/>
        </w:numPr>
        <w:rPr>
          <w:rFonts w:ascii="Times New Roman" w:hAnsi="Times New Roman" w:cs="Times New Roman"/>
          <w:highlight w:val="yellow"/>
        </w:rPr>
      </w:pPr>
      <w:r>
        <w:rPr>
          <w:rFonts w:ascii="Times New Roman" w:hAnsi="Times New Roman" w:cs="Times New Roman"/>
          <w:highlight w:val="yellow"/>
        </w:rPr>
        <w:t>Rationale of the Journal (</w:t>
      </w:r>
      <w:r w:rsidR="00214D70" w:rsidRPr="007E598F">
        <w:rPr>
          <w:rFonts w:ascii="Times New Roman" w:hAnsi="Times New Roman" w:cs="Times New Roman"/>
          <w:highlight w:val="yellow"/>
        </w:rPr>
        <w:t>why</w:t>
      </w:r>
      <w:r w:rsidR="00214D70" w:rsidRPr="007E598F">
        <w:rPr>
          <w:rFonts w:ascii="Times New Roman" w:hAnsi="Times New Roman" w:cs="Times New Roman"/>
          <w:spacing w:val="-4"/>
          <w:highlight w:val="yellow"/>
        </w:rPr>
        <w:t xml:space="preserve"> </w:t>
      </w:r>
      <w:r w:rsidR="00214D70" w:rsidRPr="007E598F">
        <w:rPr>
          <w:rFonts w:ascii="Times New Roman" w:hAnsi="Times New Roman" w:cs="Times New Roman"/>
          <w:highlight w:val="yellow"/>
        </w:rPr>
        <w:t>the</w:t>
      </w:r>
      <w:r w:rsidR="00214D70" w:rsidRPr="007E598F">
        <w:rPr>
          <w:rFonts w:ascii="Times New Roman" w:hAnsi="Times New Roman" w:cs="Times New Roman"/>
          <w:spacing w:val="-5"/>
          <w:highlight w:val="yellow"/>
        </w:rPr>
        <w:t xml:space="preserve"> </w:t>
      </w:r>
      <w:r w:rsidR="00214D70" w:rsidRPr="007E598F">
        <w:rPr>
          <w:rFonts w:ascii="Times New Roman" w:hAnsi="Times New Roman" w:cs="Times New Roman"/>
          <w:highlight w:val="yellow"/>
        </w:rPr>
        <w:t>journal</w:t>
      </w:r>
      <w:r w:rsidR="00214D70" w:rsidRPr="007E598F">
        <w:rPr>
          <w:rFonts w:ascii="Times New Roman" w:hAnsi="Times New Roman" w:cs="Times New Roman"/>
          <w:spacing w:val="-4"/>
          <w:highlight w:val="yellow"/>
        </w:rPr>
        <w:t xml:space="preserve"> </w:t>
      </w:r>
      <w:r w:rsidR="00214D70" w:rsidRPr="007E598F">
        <w:rPr>
          <w:rFonts w:ascii="Times New Roman" w:hAnsi="Times New Roman" w:cs="Times New Roman"/>
          <w:highlight w:val="yellow"/>
        </w:rPr>
        <w:t>is</w:t>
      </w:r>
      <w:r w:rsidR="00214D70" w:rsidRPr="007E598F">
        <w:rPr>
          <w:rFonts w:ascii="Times New Roman" w:hAnsi="Times New Roman" w:cs="Times New Roman"/>
          <w:spacing w:val="-6"/>
          <w:highlight w:val="yellow"/>
        </w:rPr>
        <w:t xml:space="preserve"> </w:t>
      </w:r>
      <w:r w:rsidR="00214D70" w:rsidRPr="007E598F">
        <w:rPr>
          <w:rFonts w:ascii="Times New Roman" w:hAnsi="Times New Roman" w:cs="Times New Roman"/>
          <w:spacing w:val="-2"/>
          <w:highlight w:val="yellow"/>
        </w:rPr>
        <w:t>needed)</w:t>
      </w:r>
    </w:p>
    <w:p w14:paraId="37A86263"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 xml:space="preserve">The rationale behind NITI: Journal of Management Research lies in the growing need to understand how policies—whether public, business, or organizational—shape the functioning of institutions, markets, and societies in an increasingly complex and interconnected world. </w:t>
      </w:r>
      <w:r w:rsidRPr="007E598F">
        <w:rPr>
          <w:rFonts w:ascii="Times New Roman" w:hAnsi="Times New Roman" w:cs="Times New Roman"/>
        </w:rPr>
        <w:lastRenderedPageBreak/>
        <w:t>While much of the policy discourse has traditionally been framed from the perspectives of developed economies, the realities of emerging economies demand greater scholarly and practice-oriented attention. These contexts are marked by unique governance challenges, resource constraints, and opportunities for innovation that call for fresh insights into policy design, implementation, and impact.</w:t>
      </w:r>
    </w:p>
    <w:p w14:paraId="3297EBF0"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NITI seeks to address this gap by providing a dedicated platform for research that examines the role of policies in management and governance from multidisciplinary and cross-sectoral perspectives. By emphasizing pluralism in approaches and methodologies, the journal aspires to bridge the divide between theory and practice, enabling a richer understanding of how policies can foster effective leadership, sustainable growth, institutional resilience, and ethical governance.</w:t>
      </w:r>
    </w:p>
    <w:p w14:paraId="7EDCE68F" w14:textId="71CFCBA0" w:rsidR="00214D70" w:rsidRPr="007E598F" w:rsidRDefault="004F2FC1" w:rsidP="004F2FC1">
      <w:pPr>
        <w:rPr>
          <w:rFonts w:ascii="Times New Roman" w:hAnsi="Times New Roman" w:cs="Times New Roman"/>
          <w:highlight w:val="yellow"/>
        </w:rPr>
      </w:pPr>
      <w:r w:rsidRPr="007E598F">
        <w:rPr>
          <w:rFonts w:ascii="Times New Roman" w:hAnsi="Times New Roman" w:cs="Times New Roman"/>
        </w:rPr>
        <w:t>In doing so, NITI contributes to advancing both academic knowledge and practical solutions that support policymakers, business leaders, and managers in shaping organizations and societies that are better equipped to meet contemporary global and local challenges.</w:t>
      </w:r>
    </w:p>
    <w:p w14:paraId="6EEB0B7E" w14:textId="7228A1FB" w:rsidR="00214D70" w:rsidRPr="007E598F" w:rsidRDefault="007E598F" w:rsidP="00214D70">
      <w:pPr>
        <w:pStyle w:val="ListParagraph"/>
        <w:numPr>
          <w:ilvl w:val="0"/>
          <w:numId w:val="2"/>
        </w:numPr>
        <w:rPr>
          <w:rFonts w:ascii="Times New Roman" w:hAnsi="Times New Roman" w:cs="Times New Roman"/>
          <w:highlight w:val="yellow"/>
        </w:rPr>
      </w:pPr>
      <w:r w:rsidRPr="007E598F">
        <w:rPr>
          <w:rFonts w:ascii="Times New Roman" w:hAnsi="Times New Roman" w:cs="Times New Roman"/>
          <w:highlight w:val="yellow"/>
        </w:rPr>
        <w:t>T</w:t>
      </w:r>
      <w:r w:rsidR="00214D70" w:rsidRPr="007E598F">
        <w:rPr>
          <w:rFonts w:ascii="Times New Roman" w:hAnsi="Times New Roman" w:cs="Times New Roman"/>
          <w:highlight w:val="yellow"/>
        </w:rPr>
        <w:t>he journal's target audience and market potential</w:t>
      </w:r>
    </w:p>
    <w:p w14:paraId="45237D67"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NITI: Journal of Management Research is designed for a broad readership that includes academics, researchers, policymakers, business leaders, managers, and practitioners engaged in the study and practice of management, governance, and policy. The journal serves as a resource for:</w:t>
      </w:r>
    </w:p>
    <w:p w14:paraId="6916C017"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Scholars and researchers in management, public policy, organizational studies, economics, political science, and related disciplines who seek to advance theoretical and empirical knowledge on the role of policies in shaping organizations and societies.</w:t>
      </w:r>
    </w:p>
    <w:p w14:paraId="6E62781A"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Policymakers and government officials involved in designing, implementing, and evaluating public and business policies, especially within the context of emerging economies.</w:t>
      </w:r>
    </w:p>
    <w:p w14:paraId="584BD9C2"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Business leaders and managers interested in understanding how policy environments affect organizational strategy, governance practices, and market dynamics.</w:t>
      </w:r>
    </w:p>
    <w:p w14:paraId="6CAAEBC2"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Students and early-career researchers looking for critical insights into the intersections of management, governance, and policy in contemporary contexts.</w:t>
      </w:r>
    </w:p>
    <w:p w14:paraId="0D3A8411" w14:textId="77777777" w:rsidR="004F2FC1" w:rsidRPr="007E598F" w:rsidRDefault="004F2FC1" w:rsidP="004F2FC1">
      <w:pPr>
        <w:rPr>
          <w:rFonts w:ascii="Times New Roman" w:hAnsi="Times New Roman" w:cs="Times New Roman"/>
        </w:rPr>
      </w:pPr>
      <w:r w:rsidRPr="007E598F">
        <w:rPr>
          <w:rFonts w:ascii="Times New Roman" w:hAnsi="Times New Roman" w:cs="Times New Roman"/>
        </w:rPr>
        <w:t>Practitioners and consultants engaged in policy design, organizational development, and governance reform who wish to ground their work in evidence-based research.</w:t>
      </w:r>
    </w:p>
    <w:p w14:paraId="7C3ECF78" w14:textId="46A5D15F" w:rsidR="00214D70" w:rsidRPr="007E598F" w:rsidRDefault="004F2FC1" w:rsidP="004F2FC1">
      <w:pPr>
        <w:rPr>
          <w:rFonts w:ascii="Times New Roman" w:hAnsi="Times New Roman" w:cs="Times New Roman"/>
        </w:rPr>
      </w:pPr>
      <w:r w:rsidRPr="007E598F">
        <w:rPr>
          <w:rFonts w:ascii="Times New Roman" w:hAnsi="Times New Roman" w:cs="Times New Roman"/>
        </w:rPr>
        <w:t>By engaging this diverse audience, NITI aims to foster dialogue across academia, government, and industry, encouraging the exchange of ideas that inform effective, ethical, and sustainable systems of management and governance.</w:t>
      </w:r>
    </w:p>
    <w:p w14:paraId="129EB8D3" w14:textId="77777777" w:rsidR="0063305F" w:rsidRPr="007E598F" w:rsidRDefault="0063305F" w:rsidP="0063305F">
      <w:pPr>
        <w:rPr>
          <w:rFonts w:ascii="Times New Roman" w:hAnsi="Times New Roman" w:cs="Times New Roman"/>
        </w:rPr>
      </w:pPr>
    </w:p>
    <w:sectPr w:rsidR="0063305F" w:rsidRPr="007E5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209"/>
    <w:multiLevelType w:val="hybridMultilevel"/>
    <w:tmpl w:val="A3FC7630"/>
    <w:lvl w:ilvl="0" w:tplc="B204F364">
      <w:numFmt w:val="bullet"/>
      <w:lvlText w:val=""/>
      <w:lvlJc w:val="left"/>
      <w:pPr>
        <w:ind w:left="360" w:hanging="360"/>
      </w:pPr>
      <w:rPr>
        <w:rFonts w:ascii="Symbol" w:eastAsia="Symbol" w:hAnsi="Symbol" w:cs="Symbol" w:hint="default"/>
        <w:spacing w:val="0"/>
        <w:w w:val="99"/>
        <w:lang w:val="en-US" w:eastAsia="en-US" w:bidi="ar-SA"/>
      </w:rPr>
    </w:lvl>
    <w:lvl w:ilvl="1" w:tplc="F07EAAA4">
      <w:numFmt w:val="bullet"/>
      <w:lvlText w:val="•"/>
      <w:lvlJc w:val="left"/>
      <w:pPr>
        <w:ind w:left="1152" w:hanging="360"/>
      </w:pPr>
      <w:rPr>
        <w:rFonts w:hint="default"/>
        <w:lang w:val="en-US" w:eastAsia="en-US" w:bidi="ar-SA"/>
      </w:rPr>
    </w:lvl>
    <w:lvl w:ilvl="2" w:tplc="DFDCB268">
      <w:numFmt w:val="bullet"/>
      <w:lvlText w:val="•"/>
      <w:lvlJc w:val="left"/>
      <w:pPr>
        <w:ind w:left="1944" w:hanging="360"/>
      </w:pPr>
      <w:rPr>
        <w:rFonts w:hint="default"/>
        <w:lang w:val="en-US" w:eastAsia="en-US" w:bidi="ar-SA"/>
      </w:rPr>
    </w:lvl>
    <w:lvl w:ilvl="3" w:tplc="F0D4B274">
      <w:numFmt w:val="bullet"/>
      <w:lvlText w:val="•"/>
      <w:lvlJc w:val="left"/>
      <w:pPr>
        <w:ind w:left="2736" w:hanging="360"/>
      </w:pPr>
      <w:rPr>
        <w:rFonts w:hint="default"/>
        <w:lang w:val="en-US" w:eastAsia="en-US" w:bidi="ar-SA"/>
      </w:rPr>
    </w:lvl>
    <w:lvl w:ilvl="4" w:tplc="BB74DB3A">
      <w:numFmt w:val="bullet"/>
      <w:lvlText w:val="•"/>
      <w:lvlJc w:val="left"/>
      <w:pPr>
        <w:ind w:left="3528" w:hanging="360"/>
      </w:pPr>
      <w:rPr>
        <w:rFonts w:hint="default"/>
        <w:lang w:val="en-US" w:eastAsia="en-US" w:bidi="ar-SA"/>
      </w:rPr>
    </w:lvl>
    <w:lvl w:ilvl="5" w:tplc="E20A5E8C">
      <w:numFmt w:val="bullet"/>
      <w:lvlText w:val="•"/>
      <w:lvlJc w:val="left"/>
      <w:pPr>
        <w:ind w:left="4320" w:hanging="360"/>
      </w:pPr>
      <w:rPr>
        <w:rFonts w:hint="default"/>
        <w:lang w:val="en-US" w:eastAsia="en-US" w:bidi="ar-SA"/>
      </w:rPr>
    </w:lvl>
    <w:lvl w:ilvl="6" w:tplc="96E07D8C">
      <w:numFmt w:val="bullet"/>
      <w:lvlText w:val="•"/>
      <w:lvlJc w:val="left"/>
      <w:pPr>
        <w:ind w:left="5112" w:hanging="360"/>
      </w:pPr>
      <w:rPr>
        <w:rFonts w:hint="default"/>
        <w:lang w:val="en-US" w:eastAsia="en-US" w:bidi="ar-SA"/>
      </w:rPr>
    </w:lvl>
    <w:lvl w:ilvl="7" w:tplc="F89AF310">
      <w:numFmt w:val="bullet"/>
      <w:lvlText w:val="•"/>
      <w:lvlJc w:val="left"/>
      <w:pPr>
        <w:ind w:left="5904" w:hanging="360"/>
      </w:pPr>
      <w:rPr>
        <w:rFonts w:hint="default"/>
        <w:lang w:val="en-US" w:eastAsia="en-US" w:bidi="ar-SA"/>
      </w:rPr>
    </w:lvl>
    <w:lvl w:ilvl="8" w:tplc="60FCFE42">
      <w:numFmt w:val="bullet"/>
      <w:lvlText w:val="•"/>
      <w:lvlJc w:val="left"/>
      <w:pPr>
        <w:ind w:left="6696" w:hanging="360"/>
      </w:pPr>
      <w:rPr>
        <w:rFonts w:hint="default"/>
        <w:lang w:val="en-US" w:eastAsia="en-US" w:bidi="ar-SA"/>
      </w:rPr>
    </w:lvl>
  </w:abstractNum>
  <w:abstractNum w:abstractNumId="1" w15:restartNumberingAfterBreak="0">
    <w:nsid w:val="5F6D1C90"/>
    <w:multiLevelType w:val="hybridMultilevel"/>
    <w:tmpl w:val="057E1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96435A8"/>
    <w:multiLevelType w:val="hybridMultilevel"/>
    <w:tmpl w:val="39BADE4C"/>
    <w:lvl w:ilvl="0" w:tplc="C4800F8A">
      <w:numFmt w:val="bullet"/>
      <w:lvlText w:val=""/>
      <w:lvlJc w:val="left"/>
      <w:pPr>
        <w:ind w:left="720" w:hanging="360"/>
      </w:pPr>
      <w:rPr>
        <w:rFonts w:ascii="Symbol" w:eastAsia="Symbol" w:hAnsi="Symbol" w:cs="Symbol" w:hint="default"/>
        <w:spacing w:val="0"/>
        <w:w w:val="99"/>
        <w:lang w:val="en-US" w:eastAsia="en-US" w:bidi="ar-SA"/>
      </w:rPr>
    </w:lvl>
    <w:lvl w:ilvl="1" w:tplc="9FBEA636">
      <w:numFmt w:val="bullet"/>
      <w:lvlText w:val="•"/>
      <w:lvlJc w:val="left"/>
      <w:pPr>
        <w:ind w:left="1512" w:hanging="360"/>
      </w:pPr>
      <w:rPr>
        <w:rFonts w:hint="default"/>
        <w:lang w:val="en-US" w:eastAsia="en-US" w:bidi="ar-SA"/>
      </w:rPr>
    </w:lvl>
    <w:lvl w:ilvl="2" w:tplc="0390E67A">
      <w:numFmt w:val="bullet"/>
      <w:lvlText w:val="•"/>
      <w:lvlJc w:val="left"/>
      <w:pPr>
        <w:ind w:left="2304" w:hanging="360"/>
      </w:pPr>
      <w:rPr>
        <w:rFonts w:hint="default"/>
        <w:lang w:val="en-US" w:eastAsia="en-US" w:bidi="ar-SA"/>
      </w:rPr>
    </w:lvl>
    <w:lvl w:ilvl="3" w:tplc="680872C2">
      <w:numFmt w:val="bullet"/>
      <w:lvlText w:val="•"/>
      <w:lvlJc w:val="left"/>
      <w:pPr>
        <w:ind w:left="3096" w:hanging="360"/>
      </w:pPr>
      <w:rPr>
        <w:rFonts w:hint="default"/>
        <w:lang w:val="en-US" w:eastAsia="en-US" w:bidi="ar-SA"/>
      </w:rPr>
    </w:lvl>
    <w:lvl w:ilvl="4" w:tplc="DEE6D168">
      <w:numFmt w:val="bullet"/>
      <w:lvlText w:val="•"/>
      <w:lvlJc w:val="left"/>
      <w:pPr>
        <w:ind w:left="3888" w:hanging="360"/>
      </w:pPr>
      <w:rPr>
        <w:rFonts w:hint="default"/>
        <w:lang w:val="en-US" w:eastAsia="en-US" w:bidi="ar-SA"/>
      </w:rPr>
    </w:lvl>
    <w:lvl w:ilvl="5" w:tplc="F92226F6">
      <w:numFmt w:val="bullet"/>
      <w:lvlText w:val="•"/>
      <w:lvlJc w:val="left"/>
      <w:pPr>
        <w:ind w:left="4680" w:hanging="360"/>
      </w:pPr>
      <w:rPr>
        <w:rFonts w:hint="default"/>
        <w:lang w:val="en-US" w:eastAsia="en-US" w:bidi="ar-SA"/>
      </w:rPr>
    </w:lvl>
    <w:lvl w:ilvl="6" w:tplc="312A8380">
      <w:numFmt w:val="bullet"/>
      <w:lvlText w:val="•"/>
      <w:lvlJc w:val="left"/>
      <w:pPr>
        <w:ind w:left="5472" w:hanging="360"/>
      </w:pPr>
      <w:rPr>
        <w:rFonts w:hint="default"/>
        <w:lang w:val="en-US" w:eastAsia="en-US" w:bidi="ar-SA"/>
      </w:rPr>
    </w:lvl>
    <w:lvl w:ilvl="7" w:tplc="24F67AE0">
      <w:numFmt w:val="bullet"/>
      <w:lvlText w:val="•"/>
      <w:lvlJc w:val="left"/>
      <w:pPr>
        <w:ind w:left="6264" w:hanging="360"/>
      </w:pPr>
      <w:rPr>
        <w:rFonts w:hint="default"/>
        <w:lang w:val="en-US" w:eastAsia="en-US" w:bidi="ar-SA"/>
      </w:rPr>
    </w:lvl>
    <w:lvl w:ilvl="8" w:tplc="6B5CFEBA">
      <w:numFmt w:val="bullet"/>
      <w:lvlText w:val="•"/>
      <w:lvlJc w:val="left"/>
      <w:pPr>
        <w:ind w:left="7056" w:hanging="360"/>
      </w:pPr>
      <w:rPr>
        <w:rFonts w:hint="default"/>
        <w:lang w:val="en-US" w:eastAsia="en-US" w:bidi="ar-SA"/>
      </w:rPr>
    </w:lvl>
  </w:abstractNum>
  <w:num w:numId="1" w16cid:durableId="348337125">
    <w:abstractNumId w:val="0"/>
  </w:num>
  <w:num w:numId="2" w16cid:durableId="404107012">
    <w:abstractNumId w:val="1"/>
  </w:num>
  <w:num w:numId="3" w16cid:durableId="54942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5F"/>
    <w:rsid w:val="000B77D6"/>
    <w:rsid w:val="00214D70"/>
    <w:rsid w:val="002C65F0"/>
    <w:rsid w:val="0032237D"/>
    <w:rsid w:val="00497727"/>
    <w:rsid w:val="004F2FC1"/>
    <w:rsid w:val="0063305F"/>
    <w:rsid w:val="00782122"/>
    <w:rsid w:val="007E598F"/>
    <w:rsid w:val="00802296"/>
    <w:rsid w:val="00AE4529"/>
    <w:rsid w:val="00B25F9C"/>
    <w:rsid w:val="00B360A8"/>
    <w:rsid w:val="00CB56CF"/>
    <w:rsid w:val="00ED2282"/>
    <w:rsid w:val="00ED2A44"/>
    <w:rsid w:val="00FF5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0577"/>
  <w15:chartTrackingRefBased/>
  <w15:docId w15:val="{F1375888-0912-4EBC-AC2F-722ED35A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5F"/>
  </w:style>
  <w:style w:type="paragraph" w:styleId="Heading1">
    <w:name w:val="heading 1"/>
    <w:basedOn w:val="Normal"/>
    <w:next w:val="Normal"/>
    <w:link w:val="Heading1Char"/>
    <w:uiPriority w:val="9"/>
    <w:qFormat/>
    <w:rsid w:val="00ED2A44"/>
    <w:pPr>
      <w:keepNext/>
      <w:keepLines/>
      <w:spacing w:before="360" w:after="80" w:line="480" w:lineRule="auto"/>
      <w:jc w:val="center"/>
      <w:outlineLvl w:val="0"/>
    </w:pPr>
    <w:rPr>
      <w:rFonts w:ascii="Times New Roman" w:eastAsiaTheme="majorEastAsia" w:hAnsi="Times New Roman" w:cstheme="majorBidi"/>
      <w:b/>
      <w:sz w:val="28"/>
      <w:szCs w:val="40"/>
      <w:u w:val="single"/>
    </w:rPr>
  </w:style>
  <w:style w:type="paragraph" w:styleId="Heading2">
    <w:name w:val="heading 2"/>
    <w:basedOn w:val="Normal"/>
    <w:next w:val="Normal"/>
    <w:link w:val="Heading2Char"/>
    <w:uiPriority w:val="9"/>
    <w:unhideWhenUsed/>
    <w:qFormat/>
    <w:rsid w:val="00ED2A44"/>
    <w:pPr>
      <w:keepNext/>
      <w:keepLines/>
      <w:spacing w:before="280" w:after="200" w:line="360" w:lineRule="auto"/>
      <w:jc w:val="both"/>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ED2A44"/>
    <w:pPr>
      <w:keepNext/>
      <w:keepLines/>
      <w:spacing w:before="40" w:after="0" w:line="360" w:lineRule="auto"/>
      <w:jc w:val="both"/>
      <w:outlineLvl w:val="2"/>
    </w:pPr>
    <w:rPr>
      <w:rFonts w:ascii="Times New Roman" w:eastAsiaTheme="majorEastAsia" w:hAnsi="Times New Roman" w:cstheme="majorBidi"/>
      <w:b/>
      <w:i/>
      <w:color w:val="000000" w:themeColor="text1"/>
      <w:szCs w:val="28"/>
    </w:rPr>
  </w:style>
  <w:style w:type="paragraph" w:styleId="Heading4">
    <w:name w:val="heading 4"/>
    <w:basedOn w:val="Normal"/>
    <w:next w:val="Normal"/>
    <w:link w:val="Heading4Char"/>
    <w:uiPriority w:val="9"/>
    <w:unhideWhenUsed/>
    <w:qFormat/>
    <w:rsid w:val="00ED2A44"/>
    <w:pPr>
      <w:keepNext/>
      <w:keepLines/>
      <w:spacing w:before="80" w:line="360" w:lineRule="auto"/>
      <w:jc w:val="both"/>
      <w:outlineLvl w:val="3"/>
    </w:pPr>
    <w:rPr>
      <w:rFonts w:ascii="Times New Roman" w:eastAsiaTheme="majorEastAsia" w:hAnsi="Times New Roman" w:cstheme="majorBidi"/>
      <w:i/>
      <w:iCs/>
    </w:rPr>
  </w:style>
  <w:style w:type="paragraph" w:styleId="Heading5">
    <w:name w:val="heading 5"/>
    <w:basedOn w:val="Normal"/>
    <w:next w:val="Normal"/>
    <w:link w:val="Heading5Char"/>
    <w:uiPriority w:val="9"/>
    <w:semiHidden/>
    <w:unhideWhenUsed/>
    <w:qFormat/>
    <w:rsid w:val="00633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A44"/>
    <w:rPr>
      <w:rFonts w:ascii="Times New Roman" w:eastAsiaTheme="majorEastAsia" w:hAnsi="Times New Roman" w:cstheme="majorBidi"/>
      <w:b/>
      <w:sz w:val="28"/>
      <w:szCs w:val="40"/>
      <w:u w:val="single"/>
    </w:rPr>
  </w:style>
  <w:style w:type="character" w:customStyle="1" w:styleId="Heading2Char">
    <w:name w:val="Heading 2 Char"/>
    <w:basedOn w:val="DefaultParagraphFont"/>
    <w:link w:val="Heading2"/>
    <w:uiPriority w:val="9"/>
    <w:rsid w:val="00ED2A44"/>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ED2A44"/>
    <w:rPr>
      <w:rFonts w:ascii="Times New Roman" w:eastAsiaTheme="majorEastAsia" w:hAnsi="Times New Roman" w:cstheme="majorBidi"/>
      <w:b/>
      <w:i/>
      <w:color w:val="000000" w:themeColor="text1"/>
      <w:szCs w:val="28"/>
    </w:rPr>
  </w:style>
  <w:style w:type="character" w:customStyle="1" w:styleId="Heading4Char">
    <w:name w:val="Heading 4 Char"/>
    <w:basedOn w:val="DefaultParagraphFont"/>
    <w:link w:val="Heading4"/>
    <w:uiPriority w:val="9"/>
    <w:rsid w:val="00ED2A44"/>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633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05F"/>
    <w:rPr>
      <w:rFonts w:eastAsiaTheme="majorEastAsia" w:cstheme="majorBidi"/>
      <w:color w:val="272727" w:themeColor="text1" w:themeTint="D8"/>
    </w:rPr>
  </w:style>
  <w:style w:type="paragraph" w:styleId="Title">
    <w:name w:val="Title"/>
    <w:basedOn w:val="Normal"/>
    <w:next w:val="Normal"/>
    <w:link w:val="TitleChar"/>
    <w:uiPriority w:val="10"/>
    <w:qFormat/>
    <w:rsid w:val="00633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05F"/>
    <w:pPr>
      <w:spacing w:before="160"/>
      <w:jc w:val="center"/>
    </w:pPr>
    <w:rPr>
      <w:i/>
      <w:iCs/>
      <w:color w:val="404040" w:themeColor="text1" w:themeTint="BF"/>
    </w:rPr>
  </w:style>
  <w:style w:type="character" w:customStyle="1" w:styleId="QuoteChar">
    <w:name w:val="Quote Char"/>
    <w:basedOn w:val="DefaultParagraphFont"/>
    <w:link w:val="Quote"/>
    <w:uiPriority w:val="29"/>
    <w:rsid w:val="0063305F"/>
    <w:rPr>
      <w:i/>
      <w:iCs/>
      <w:color w:val="404040" w:themeColor="text1" w:themeTint="BF"/>
    </w:rPr>
  </w:style>
  <w:style w:type="paragraph" w:styleId="ListParagraph">
    <w:name w:val="List Paragraph"/>
    <w:basedOn w:val="Normal"/>
    <w:uiPriority w:val="1"/>
    <w:qFormat/>
    <w:rsid w:val="0063305F"/>
    <w:pPr>
      <w:ind w:left="720"/>
      <w:contextualSpacing/>
    </w:pPr>
  </w:style>
  <w:style w:type="character" w:styleId="IntenseEmphasis">
    <w:name w:val="Intense Emphasis"/>
    <w:basedOn w:val="DefaultParagraphFont"/>
    <w:uiPriority w:val="21"/>
    <w:qFormat/>
    <w:rsid w:val="0063305F"/>
    <w:rPr>
      <w:i/>
      <w:iCs/>
      <w:color w:val="2F5496" w:themeColor="accent1" w:themeShade="BF"/>
    </w:rPr>
  </w:style>
  <w:style w:type="paragraph" w:styleId="IntenseQuote">
    <w:name w:val="Intense Quote"/>
    <w:basedOn w:val="Normal"/>
    <w:next w:val="Normal"/>
    <w:link w:val="IntenseQuoteChar"/>
    <w:uiPriority w:val="30"/>
    <w:qFormat/>
    <w:rsid w:val="00633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05F"/>
    <w:rPr>
      <w:i/>
      <w:iCs/>
      <w:color w:val="2F5496" w:themeColor="accent1" w:themeShade="BF"/>
    </w:rPr>
  </w:style>
  <w:style w:type="character" w:styleId="IntenseReference">
    <w:name w:val="Intense Reference"/>
    <w:basedOn w:val="DefaultParagraphFont"/>
    <w:uiPriority w:val="32"/>
    <w:qFormat/>
    <w:rsid w:val="0063305F"/>
    <w:rPr>
      <w:b/>
      <w:bCs/>
      <w:smallCaps/>
      <w:color w:val="2F5496" w:themeColor="accent1" w:themeShade="BF"/>
      <w:spacing w:val="5"/>
    </w:rPr>
  </w:style>
  <w:style w:type="paragraph" w:styleId="BodyText">
    <w:name w:val="Body Text"/>
    <w:basedOn w:val="Normal"/>
    <w:link w:val="BodyTextChar"/>
    <w:uiPriority w:val="1"/>
    <w:qFormat/>
    <w:rsid w:val="0063305F"/>
    <w:pPr>
      <w:widowControl w:val="0"/>
      <w:autoSpaceDE w:val="0"/>
      <w:autoSpaceDN w:val="0"/>
      <w:spacing w:after="0" w:line="240" w:lineRule="auto"/>
      <w:ind w:left="720" w:hanging="360"/>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63305F"/>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Jha</dc:creator>
  <cp:keywords/>
  <dc:description/>
  <cp:lastModifiedBy>Indu Jha</cp:lastModifiedBy>
  <cp:revision>2</cp:revision>
  <dcterms:created xsi:type="dcterms:W3CDTF">2025-10-10T12:15:00Z</dcterms:created>
  <dcterms:modified xsi:type="dcterms:W3CDTF">2025-10-10T12:15:00Z</dcterms:modified>
</cp:coreProperties>
</file>