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rPr>
          <w:color w:val="000000"/>
        </w:rPr>
      </w:pPr>
      <w:r w:rsidDel="00000000" w:rsidR="00000000" w:rsidRPr="00000000">
        <w:rPr>
          <w:color w:val="000000"/>
          <w:rtl w:val="0"/>
        </w:rPr>
        <w:br w:type="textWrapping"/>
        <w:br w:type="textWrapping"/>
        <w:br w:type="textWrapping"/>
      </w:r>
    </w:p>
    <w:p w:rsidR="00000000" w:rsidDel="00000000" w:rsidP="00000000" w:rsidRDefault="00000000" w:rsidRPr="00000000" w14:paraId="00000002">
      <w:pPr>
        <w:spacing w:after="240" w:line="240" w:lineRule="auto"/>
        <w:rPr>
          <w:color w:val="000000"/>
        </w:rPr>
      </w:pPr>
      <w:r w:rsidDel="00000000" w:rsidR="00000000" w:rsidRPr="00000000">
        <w:rPr>
          <w:color w:val="000000"/>
          <w:rtl w:val="0"/>
        </w:rPr>
        <w:br w:type="textWrapping"/>
      </w:r>
    </w:p>
    <w:tbl>
      <w:tblPr>
        <w:tblStyle w:val="Table1"/>
        <w:tblW w:w="9016.0" w:type="dxa"/>
        <w:jc w:val="left"/>
        <w:tblLayout w:type="fixed"/>
        <w:tblLook w:val="0400"/>
      </w:tblPr>
      <w:tblGrid>
        <w:gridCol w:w="2604"/>
        <w:gridCol w:w="6412"/>
        <w:tblGridChange w:id="0">
          <w:tblGrid>
            <w:gridCol w:w="2604"/>
            <w:gridCol w:w="64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color w:val="000000"/>
              </w:rPr>
            </w:pPr>
            <w:r w:rsidDel="00000000" w:rsidR="00000000" w:rsidRPr="00000000">
              <w:rPr>
                <w:b w:val="1"/>
                <w:color w:val="000000"/>
                <w:sz w:val="28"/>
                <w:szCs w:val="28"/>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4">
            <w:pPr>
              <w:spacing w:after="0" w:line="240" w:lineRule="auto"/>
              <w:rPr>
                <w:b w:val="1"/>
                <w:color w:val="000000"/>
                <w:sz w:val="28"/>
                <w:szCs w:val="28"/>
              </w:rPr>
            </w:pPr>
            <w:r w:rsidDel="00000000" w:rsidR="00000000" w:rsidRPr="00000000">
              <w:rPr>
                <w:b w:val="1"/>
                <w:color w:val="000000"/>
                <w:sz w:val="28"/>
                <w:szCs w:val="28"/>
                <w:rtl w:val="0"/>
              </w:rPr>
              <w:t xml:space="preserve">James Lewis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color w:val="000000"/>
              </w:rPr>
            </w:pPr>
            <w:r w:rsidDel="00000000" w:rsidR="00000000" w:rsidRPr="00000000">
              <w:rPr>
                <w:b w:val="1"/>
                <w:color w:val="000000"/>
                <w:sz w:val="28"/>
                <w:szCs w:val="28"/>
                <w:rtl w:val="0"/>
              </w:rPr>
              <w:t xml:space="preserve">Roll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6">
            <w:pPr>
              <w:spacing w:after="0" w:line="240" w:lineRule="auto"/>
              <w:rPr>
                <w:b w:val="1"/>
                <w:color w:val="000000"/>
                <w:sz w:val="28"/>
                <w:szCs w:val="28"/>
              </w:rPr>
            </w:pPr>
            <w:r w:rsidDel="00000000" w:rsidR="00000000" w:rsidRPr="00000000">
              <w:rPr>
                <w:b w:val="1"/>
                <w:color w:val="000000"/>
                <w:sz w:val="28"/>
                <w:szCs w:val="28"/>
                <w:rtl w:val="0"/>
              </w:rPr>
              <w:t xml:space="preserve">32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color w:val="000000"/>
              </w:rPr>
            </w:pPr>
            <w:r w:rsidDel="00000000" w:rsidR="00000000" w:rsidRPr="00000000">
              <w:rPr>
                <w:b w:val="1"/>
                <w:color w:val="000000"/>
                <w:sz w:val="28"/>
                <w:szCs w:val="28"/>
                <w:rtl w:val="0"/>
              </w:rPr>
              <w:t xml:space="preserve">Class/Sem: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8">
            <w:pPr>
              <w:spacing w:after="0" w:line="240" w:lineRule="auto"/>
              <w:jc w:val="both"/>
              <w:rPr>
                <w:color w:val="000000"/>
              </w:rPr>
            </w:pPr>
            <w:r w:rsidDel="00000000" w:rsidR="00000000" w:rsidRPr="00000000">
              <w:rPr>
                <w:color w:val="000000"/>
                <w:sz w:val="28"/>
                <w:szCs w:val="28"/>
                <w:rtl w:val="0"/>
              </w:rPr>
              <w:t xml:space="preserve">TE/V</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color w:val="000000"/>
              </w:rPr>
            </w:pPr>
            <w:r w:rsidDel="00000000" w:rsidR="00000000" w:rsidRPr="00000000">
              <w:rPr>
                <w:b w:val="1"/>
                <w:color w:val="000000"/>
                <w:sz w:val="28"/>
                <w:szCs w:val="28"/>
                <w:rtl w:val="0"/>
              </w:rPr>
              <w:t xml:space="preserve">Experiment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A">
            <w:pPr>
              <w:spacing w:after="0" w:line="240" w:lineRule="auto"/>
              <w:jc w:val="both"/>
              <w:rPr>
                <w:color w:val="000000"/>
              </w:rPr>
            </w:pPr>
            <w:r w:rsidDel="00000000" w:rsidR="00000000" w:rsidRPr="00000000">
              <w:rPr>
                <w:color w:val="000000"/>
                <w:sz w:val="28"/>
                <w:szCs w:val="28"/>
                <w:rtl w:val="0"/>
              </w:rPr>
              <w:t xml:space="preserve">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color w:val="000000"/>
              </w:rPr>
            </w:pPr>
            <w:r w:rsidDel="00000000" w:rsidR="00000000" w:rsidRPr="00000000">
              <w:rPr>
                <w:b w:val="1"/>
                <w:color w:val="000000"/>
                <w:sz w:val="28"/>
                <w:szCs w:val="28"/>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C">
            <w:pPr>
              <w:spacing w:after="0" w:line="240" w:lineRule="auto"/>
              <w:jc w:val="both"/>
              <w:rPr>
                <w:color w:val="000000"/>
              </w:rPr>
            </w:pPr>
            <w:r w:rsidDel="00000000" w:rsidR="00000000" w:rsidRPr="00000000">
              <w:rPr>
                <w:color w:val="000000"/>
                <w:sz w:val="28"/>
                <w:szCs w:val="28"/>
                <w:rtl w:val="0"/>
              </w:rPr>
              <w:t xml:space="preserve">Using open-source tools Implement Association Mining Algorithms.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color w:val="000000"/>
              </w:rPr>
            </w:pPr>
            <w:r w:rsidDel="00000000" w:rsidR="00000000" w:rsidRPr="00000000">
              <w:rPr>
                <w:b w:val="1"/>
                <w:color w:val="000000"/>
                <w:sz w:val="28"/>
                <w:szCs w:val="28"/>
                <w:rtl w:val="0"/>
              </w:rPr>
              <w:t xml:space="preserve">Date of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E">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color w:val="000000"/>
              </w:rPr>
            </w:pPr>
            <w:r w:rsidDel="00000000" w:rsidR="00000000" w:rsidRPr="00000000">
              <w:rPr>
                <w:b w:val="1"/>
                <w:color w:val="000000"/>
                <w:sz w:val="28"/>
                <w:szCs w:val="28"/>
                <w:rtl w:val="0"/>
              </w:rPr>
              <w:t xml:space="preserve">Date of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0">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color w:val="000000"/>
              </w:rPr>
            </w:pPr>
            <w:r w:rsidDel="00000000" w:rsidR="00000000" w:rsidRPr="00000000">
              <w:rPr>
                <w:b w:val="1"/>
                <w:color w:val="000000"/>
                <w:sz w:val="28"/>
                <w:szCs w:val="28"/>
                <w:rtl w:val="0"/>
              </w:rPr>
              <w:t xml:space="preserve">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2">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color w:val="000000"/>
              </w:rPr>
            </w:pPr>
            <w:r w:rsidDel="00000000" w:rsidR="00000000" w:rsidRPr="00000000">
              <w:rPr>
                <w:b w:val="1"/>
                <w:color w:val="000000"/>
                <w:sz w:val="28"/>
                <w:szCs w:val="28"/>
                <w:rtl w:val="0"/>
              </w:rPr>
              <w:t xml:space="preserve">Sign of Faculty: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4">
            <w:pPr>
              <w:spacing w:after="0" w:line="240" w:lineRule="auto"/>
              <w:rPr>
                <w:color w:val="000000"/>
              </w:rPr>
            </w:pPr>
            <w:r w:rsidDel="00000000" w:rsidR="00000000" w:rsidRPr="00000000">
              <w:rPr>
                <w:rtl w:val="0"/>
              </w:rPr>
            </w:r>
          </w:p>
        </w:tc>
      </w:tr>
    </w:tbl>
    <w:p w:rsidR="00000000" w:rsidDel="00000000" w:rsidP="00000000" w:rsidRDefault="00000000" w:rsidRPr="00000000" w14:paraId="00000015">
      <w:pPr>
        <w:spacing w:after="0" w:line="240" w:lineRule="auto"/>
        <w:rPr>
          <w:color w:val="000000"/>
        </w:rPr>
      </w:pPr>
      <w:r w:rsidDel="00000000" w:rsidR="00000000" w:rsidRPr="00000000">
        <w:rPr>
          <w:rtl w:val="0"/>
        </w:rPr>
      </w:r>
    </w:p>
    <w:p w:rsidR="00000000" w:rsidDel="00000000" w:rsidP="00000000" w:rsidRDefault="00000000" w:rsidRPr="00000000" w14:paraId="00000016">
      <w:pPr>
        <w:spacing w:after="0" w:line="240" w:lineRule="auto"/>
        <w:jc w:val="both"/>
        <w:rPr>
          <w:color w:val="000000"/>
        </w:rPr>
      </w:pP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017">
      <w:pPr>
        <w:spacing w:after="0" w:line="240" w:lineRule="auto"/>
        <w:rPr>
          <w:color w:val="000000"/>
        </w:rPr>
      </w:pPr>
      <w:r w:rsidDel="00000000" w:rsidR="00000000" w:rsidRPr="00000000">
        <w:rPr>
          <w:rtl w:val="0"/>
        </w:rPr>
      </w:r>
    </w:p>
    <w:p w:rsidR="00000000" w:rsidDel="00000000" w:rsidP="00000000" w:rsidRDefault="00000000" w:rsidRPr="00000000" w14:paraId="00000018">
      <w:pPr>
        <w:spacing w:line="240" w:lineRule="auto"/>
        <w:rPr>
          <w:b w:val="1"/>
          <w:color w:val="000000"/>
        </w:rPr>
      </w:pPr>
      <w:r w:rsidDel="00000000" w:rsidR="00000000" w:rsidRPr="00000000">
        <w:rPr>
          <w:rtl w:val="0"/>
        </w:rPr>
      </w:r>
    </w:p>
    <w:p w:rsidR="00000000" w:rsidDel="00000000" w:rsidP="00000000" w:rsidRDefault="00000000" w:rsidRPr="00000000" w14:paraId="00000019">
      <w:pPr>
        <w:spacing w:line="240" w:lineRule="auto"/>
        <w:rPr>
          <w:b w:val="1"/>
          <w:color w:val="000000"/>
        </w:rPr>
      </w:pPr>
      <w:r w:rsidDel="00000000" w:rsidR="00000000" w:rsidRPr="00000000">
        <w:rPr>
          <w:rtl w:val="0"/>
        </w:rPr>
      </w:r>
    </w:p>
    <w:p w:rsidR="00000000" w:rsidDel="00000000" w:rsidP="00000000" w:rsidRDefault="00000000" w:rsidRPr="00000000" w14:paraId="0000001A">
      <w:pPr>
        <w:spacing w:line="240" w:lineRule="auto"/>
        <w:rPr>
          <w:b w:val="1"/>
          <w:color w:val="000000"/>
        </w:rPr>
      </w:pPr>
      <w:r w:rsidDel="00000000" w:rsidR="00000000" w:rsidRPr="00000000">
        <w:rPr>
          <w:rtl w:val="0"/>
        </w:rPr>
      </w:r>
    </w:p>
    <w:p w:rsidR="00000000" w:rsidDel="00000000" w:rsidP="00000000" w:rsidRDefault="00000000" w:rsidRPr="00000000" w14:paraId="0000001B">
      <w:pPr>
        <w:spacing w:line="240" w:lineRule="auto"/>
        <w:rPr>
          <w:b w:val="1"/>
          <w:color w:val="000000"/>
        </w:rPr>
      </w:pPr>
      <w:r w:rsidDel="00000000" w:rsidR="00000000" w:rsidRPr="00000000">
        <w:rPr>
          <w:rtl w:val="0"/>
        </w:rPr>
      </w:r>
    </w:p>
    <w:p w:rsidR="00000000" w:rsidDel="00000000" w:rsidP="00000000" w:rsidRDefault="00000000" w:rsidRPr="00000000" w14:paraId="0000001C">
      <w:pPr>
        <w:spacing w:line="240" w:lineRule="auto"/>
        <w:rPr>
          <w:b w:val="1"/>
          <w:color w:val="000000"/>
        </w:rPr>
      </w:pPr>
      <w:r w:rsidDel="00000000" w:rsidR="00000000" w:rsidRPr="00000000">
        <w:rPr>
          <w:rtl w:val="0"/>
        </w:rPr>
      </w:r>
    </w:p>
    <w:p w:rsidR="00000000" w:rsidDel="00000000" w:rsidP="00000000" w:rsidRDefault="00000000" w:rsidRPr="00000000" w14:paraId="0000001D">
      <w:pPr>
        <w:spacing w:line="240" w:lineRule="auto"/>
        <w:rPr>
          <w:b w:val="1"/>
          <w:color w:val="000000"/>
        </w:rPr>
      </w:pPr>
      <w:r w:rsidDel="00000000" w:rsidR="00000000" w:rsidRPr="00000000">
        <w:rPr>
          <w:rtl w:val="0"/>
        </w:rPr>
      </w:r>
    </w:p>
    <w:p w:rsidR="00000000" w:rsidDel="00000000" w:rsidP="00000000" w:rsidRDefault="00000000" w:rsidRPr="00000000" w14:paraId="0000001E">
      <w:pPr>
        <w:spacing w:line="240" w:lineRule="auto"/>
        <w:rPr>
          <w:b w:val="1"/>
          <w:color w:val="000000"/>
        </w:rPr>
      </w:pPr>
      <w:r w:rsidDel="00000000" w:rsidR="00000000" w:rsidRPr="00000000">
        <w:rPr>
          <w:rtl w:val="0"/>
        </w:rPr>
      </w:r>
    </w:p>
    <w:p w:rsidR="00000000" w:rsidDel="00000000" w:rsidP="00000000" w:rsidRDefault="00000000" w:rsidRPr="00000000" w14:paraId="0000001F">
      <w:pPr>
        <w:spacing w:line="240" w:lineRule="auto"/>
        <w:rPr>
          <w:b w:val="1"/>
          <w:color w:val="000000"/>
        </w:rPr>
      </w:pPr>
      <w:r w:rsidDel="00000000" w:rsidR="00000000" w:rsidRPr="00000000">
        <w:rPr>
          <w:rtl w:val="0"/>
        </w:rPr>
      </w:r>
    </w:p>
    <w:p w:rsidR="00000000" w:rsidDel="00000000" w:rsidP="00000000" w:rsidRDefault="00000000" w:rsidRPr="00000000" w14:paraId="00000020">
      <w:pPr>
        <w:spacing w:line="240" w:lineRule="auto"/>
        <w:rPr>
          <w:b w:val="1"/>
          <w:color w:val="000000"/>
        </w:rPr>
      </w:pPr>
      <w:r w:rsidDel="00000000" w:rsidR="00000000" w:rsidRPr="00000000">
        <w:rPr>
          <w:rtl w:val="0"/>
        </w:rPr>
      </w:r>
    </w:p>
    <w:p w:rsidR="00000000" w:rsidDel="00000000" w:rsidP="00000000" w:rsidRDefault="00000000" w:rsidRPr="00000000" w14:paraId="00000021">
      <w:pPr>
        <w:spacing w:line="240" w:lineRule="auto"/>
        <w:rPr>
          <w:b w:val="1"/>
          <w:color w:val="000000"/>
        </w:rPr>
      </w:pPr>
      <w:r w:rsidDel="00000000" w:rsidR="00000000" w:rsidRPr="00000000">
        <w:rPr>
          <w:rtl w:val="0"/>
        </w:rPr>
      </w:r>
    </w:p>
    <w:p w:rsidR="00000000" w:rsidDel="00000000" w:rsidP="00000000" w:rsidRDefault="00000000" w:rsidRPr="00000000" w14:paraId="00000022">
      <w:pPr>
        <w:spacing w:line="240" w:lineRule="auto"/>
        <w:rPr>
          <w:b w:val="1"/>
          <w:color w:val="000000"/>
        </w:rPr>
      </w:pPr>
      <w:r w:rsidDel="00000000" w:rsidR="00000000" w:rsidRPr="00000000">
        <w:rPr>
          <w:rtl w:val="0"/>
        </w:rPr>
      </w:r>
    </w:p>
    <w:p w:rsidR="00000000" w:rsidDel="00000000" w:rsidP="00000000" w:rsidRDefault="00000000" w:rsidRPr="00000000" w14:paraId="00000023">
      <w:pPr>
        <w:spacing w:line="240" w:lineRule="auto"/>
        <w:rPr>
          <w:b w:val="1"/>
          <w:color w:val="000000"/>
        </w:rPr>
      </w:pPr>
      <w:r w:rsidDel="00000000" w:rsidR="00000000" w:rsidRPr="00000000">
        <w:rPr>
          <w:rtl w:val="0"/>
        </w:rPr>
      </w:r>
    </w:p>
    <w:p w:rsidR="00000000" w:rsidDel="00000000" w:rsidP="00000000" w:rsidRDefault="00000000" w:rsidRPr="00000000" w14:paraId="00000024">
      <w:pPr>
        <w:spacing w:line="240" w:lineRule="auto"/>
        <w:rPr>
          <w:b w:val="1"/>
          <w:color w:val="000000"/>
        </w:rPr>
      </w:pPr>
      <w:r w:rsidDel="00000000" w:rsidR="00000000" w:rsidRPr="00000000">
        <w:rPr>
          <w:rtl w:val="0"/>
        </w:rPr>
      </w:r>
    </w:p>
    <w:p w:rsidR="00000000" w:rsidDel="00000000" w:rsidP="00000000" w:rsidRDefault="00000000" w:rsidRPr="00000000" w14:paraId="00000025">
      <w:pPr>
        <w:spacing w:line="240" w:lineRule="auto"/>
        <w:rPr>
          <w:b w:val="1"/>
          <w:color w:val="000000"/>
        </w:rPr>
      </w:pPr>
      <w:r w:rsidDel="00000000" w:rsidR="00000000" w:rsidRPr="00000000">
        <w:rPr>
          <w:rtl w:val="0"/>
        </w:rPr>
      </w:r>
    </w:p>
    <w:p w:rsidR="00000000" w:rsidDel="00000000" w:rsidP="00000000" w:rsidRDefault="00000000" w:rsidRPr="00000000" w14:paraId="00000026">
      <w:pPr>
        <w:spacing w:line="240" w:lineRule="auto"/>
        <w:rPr>
          <w:b w:val="1"/>
          <w:color w:val="000000"/>
        </w:rPr>
      </w:pPr>
      <w:r w:rsidDel="00000000" w:rsidR="00000000" w:rsidRPr="00000000">
        <w:rPr>
          <w:rtl w:val="0"/>
        </w:rPr>
      </w:r>
    </w:p>
    <w:p w:rsidR="00000000" w:rsidDel="00000000" w:rsidP="00000000" w:rsidRDefault="00000000" w:rsidRPr="00000000" w14:paraId="00000027">
      <w:pPr>
        <w:spacing w:line="240" w:lineRule="auto"/>
        <w:rPr>
          <w:color w:val="000000"/>
        </w:rPr>
      </w:pPr>
      <w:r w:rsidDel="00000000" w:rsidR="00000000" w:rsidRPr="00000000">
        <w:rPr>
          <w:b w:val="1"/>
          <w:color w:val="000000"/>
          <w:rtl w:val="0"/>
        </w:rPr>
        <w:t xml:space="preserve">Aim:</w:t>
      </w:r>
      <w:r w:rsidDel="00000000" w:rsidR="00000000" w:rsidRPr="00000000">
        <w:rPr>
          <w:color w:val="000000"/>
          <w:rtl w:val="0"/>
        </w:rPr>
        <w:t xml:space="preserve"> To implement Apriori Algorithm on a large dataset using Open-source tool WEKA.</w:t>
      </w:r>
    </w:p>
    <w:p w:rsidR="00000000" w:rsidDel="00000000" w:rsidP="00000000" w:rsidRDefault="00000000" w:rsidRPr="00000000" w14:paraId="00000028">
      <w:pPr>
        <w:spacing w:line="240" w:lineRule="auto"/>
        <w:jc w:val="both"/>
        <w:rPr>
          <w:color w:val="000000"/>
        </w:rPr>
      </w:pPr>
      <w:r w:rsidDel="00000000" w:rsidR="00000000" w:rsidRPr="00000000">
        <w:rPr>
          <w:b w:val="1"/>
          <w:color w:val="000000"/>
          <w:rtl w:val="0"/>
        </w:rPr>
        <w:t xml:space="preserve">Objective:</w:t>
      </w:r>
      <w:r w:rsidDel="00000000" w:rsidR="00000000" w:rsidRPr="00000000">
        <w:rPr>
          <w:rFonts w:ascii="Arial" w:cs="Arial" w:eastAsia="Arial" w:hAnsi="Arial"/>
          <w:color w:val="4d5156"/>
          <w:sz w:val="21"/>
          <w:szCs w:val="21"/>
          <w:highlight w:val="white"/>
          <w:rtl w:val="0"/>
        </w:rPr>
        <w:t xml:space="preserve"> </w:t>
      </w:r>
      <w:r w:rsidDel="00000000" w:rsidR="00000000" w:rsidRPr="00000000">
        <w:rPr>
          <w:color w:val="000000"/>
          <w:rtl w:val="0"/>
        </w:rPr>
        <w:t xml:space="preserve">To make students well versed with open-source tools like WEKA to implement Apriori algorithm.</w:t>
      </w:r>
    </w:p>
    <w:p w:rsidR="00000000" w:rsidDel="00000000" w:rsidP="00000000" w:rsidRDefault="00000000" w:rsidRPr="00000000" w14:paraId="00000029">
      <w:pPr>
        <w:spacing w:after="0" w:line="240" w:lineRule="auto"/>
        <w:jc w:val="both"/>
        <w:rPr>
          <w:color w:val="000000"/>
        </w:rPr>
      </w:pPr>
      <w:r w:rsidDel="00000000" w:rsidR="00000000" w:rsidRPr="00000000">
        <w:rPr>
          <w:b w:val="1"/>
          <w:color w:val="000000"/>
          <w:rtl w:val="0"/>
        </w:rPr>
        <w:t xml:space="preserve">Theory:</w:t>
      </w:r>
      <w:r w:rsidDel="00000000" w:rsidR="00000000" w:rsidRPr="00000000">
        <w:rPr>
          <w:rtl w:val="0"/>
        </w:rPr>
      </w:r>
    </w:p>
    <w:p w:rsidR="00000000" w:rsidDel="00000000" w:rsidP="00000000" w:rsidRDefault="00000000" w:rsidRPr="00000000" w14:paraId="0000002A">
      <w:pPr>
        <w:numPr>
          <w:ilvl w:val="0"/>
          <w:numId w:val="2"/>
        </w:numPr>
        <w:shd w:fill="ffffff" w:val="clear"/>
        <w:spacing w:after="0" w:line="240" w:lineRule="auto"/>
        <w:ind w:left="360" w:hanging="360"/>
        <w:jc w:val="both"/>
        <w:rPr>
          <w:color w:val="000000"/>
        </w:rPr>
      </w:pPr>
      <w:r w:rsidDel="00000000" w:rsidR="00000000" w:rsidRPr="00000000">
        <w:rPr>
          <w:color w:val="000000"/>
          <w:rtl w:val="0"/>
        </w:rPr>
        <w:t xml:space="preserve">Association rule mining finds interesting associations and relationships among large sets of data items. This rule shows how frequently an itemset occurs in a transaction. </w:t>
      </w:r>
    </w:p>
    <w:p w:rsidR="00000000" w:rsidDel="00000000" w:rsidP="00000000" w:rsidRDefault="00000000" w:rsidRPr="00000000" w14:paraId="0000002B">
      <w:pPr>
        <w:numPr>
          <w:ilvl w:val="0"/>
          <w:numId w:val="2"/>
        </w:numPr>
        <w:shd w:fill="ffffff" w:val="clear"/>
        <w:spacing w:after="0" w:line="240" w:lineRule="auto"/>
        <w:ind w:left="360" w:hanging="360"/>
        <w:jc w:val="both"/>
        <w:rPr>
          <w:color w:val="000000"/>
        </w:rPr>
      </w:pPr>
      <w:r w:rsidDel="00000000" w:rsidR="00000000" w:rsidRPr="00000000">
        <w:rPr>
          <w:color w:val="000000"/>
          <w:rtl w:val="0"/>
        </w:rPr>
        <w:t xml:space="preserve">A typical example is a Market Based Analysis. Market Based Analysis is one of the key techniques used by large relations to show associations between items.</w:t>
      </w:r>
    </w:p>
    <w:p w:rsidR="00000000" w:rsidDel="00000000" w:rsidP="00000000" w:rsidRDefault="00000000" w:rsidRPr="00000000" w14:paraId="0000002C">
      <w:pPr>
        <w:numPr>
          <w:ilvl w:val="0"/>
          <w:numId w:val="2"/>
        </w:numPr>
        <w:shd w:fill="ffffff" w:val="clear"/>
        <w:spacing w:after="0" w:line="240" w:lineRule="auto"/>
        <w:ind w:left="360" w:hanging="360"/>
        <w:jc w:val="both"/>
        <w:rPr>
          <w:color w:val="000000"/>
        </w:rPr>
      </w:pPr>
      <w:r w:rsidDel="00000000" w:rsidR="00000000" w:rsidRPr="00000000">
        <w:rPr>
          <w:color w:val="000000"/>
          <w:rtl w:val="0"/>
        </w:rPr>
        <w:t xml:space="preserve">It allows retailers to identify relationships between the items that people buy together frequently.</w:t>
      </w:r>
    </w:p>
    <w:p w:rsidR="00000000" w:rsidDel="00000000" w:rsidP="00000000" w:rsidRDefault="00000000" w:rsidRPr="00000000" w14:paraId="0000002D">
      <w:pPr>
        <w:numPr>
          <w:ilvl w:val="0"/>
          <w:numId w:val="2"/>
        </w:numPr>
        <w:shd w:fill="ffffff" w:val="clear"/>
        <w:spacing w:after="150" w:line="240" w:lineRule="auto"/>
        <w:ind w:left="360" w:hanging="360"/>
        <w:jc w:val="both"/>
        <w:rPr>
          <w:color w:val="000000"/>
        </w:rPr>
      </w:pPr>
      <w:r w:rsidDel="00000000" w:rsidR="00000000" w:rsidRPr="00000000">
        <w:rPr>
          <w:color w:val="000000"/>
          <w:rtl w:val="0"/>
        </w:rPr>
        <w:t xml:space="preserve">Given a set of transactions, we can find rules that will predict the occurrence of an item based on the occurrences of other items in the transaction.</w:t>
      </w:r>
    </w:p>
    <w:tbl>
      <w:tblPr>
        <w:tblStyle w:val="Table2"/>
        <w:tblW w:w="3560.0" w:type="dxa"/>
        <w:jc w:val="center"/>
        <w:tblLayout w:type="fixed"/>
        <w:tblLook w:val="0400"/>
      </w:tblPr>
      <w:tblGrid>
        <w:gridCol w:w="700"/>
        <w:gridCol w:w="2860"/>
        <w:tblGridChange w:id="0">
          <w:tblGrid>
            <w:gridCol w:w="700"/>
            <w:gridCol w:w="2860"/>
          </w:tblGrid>
        </w:tblGridChange>
      </w:tblGrid>
      <w:tr>
        <w:trPr>
          <w:cantSplit w:val="0"/>
          <w:trHeight w:val="20" w:hRule="atLeast"/>
          <w:tblHeader w:val="1"/>
        </w:trPr>
        <w:tc>
          <w:tcPr>
            <w:tcBorders>
              <w:top w:color="000000" w:space="0" w:sz="4" w:val="single"/>
              <w:left w:color="000000" w:space="0" w:sz="4" w:val="single"/>
              <w:bottom w:color="000000" w:space="0" w:sz="4" w:val="single"/>
              <w:right w:color="000000" w:space="0" w:sz="4" w:val="single"/>
            </w:tcBorders>
            <w:shd w:fill="ffffff" w:val="clear"/>
            <w:tcMar>
              <w:top w:w="150.0" w:type="dxa"/>
              <w:left w:w="150.0" w:type="dxa"/>
              <w:bottom w:w="150.0" w:type="dxa"/>
              <w:right w:w="150.0" w:type="dxa"/>
            </w:tcMar>
            <w:vAlign w:val="bottom"/>
          </w:tcPr>
          <w:p w:rsidR="00000000" w:rsidDel="00000000" w:rsidP="00000000" w:rsidRDefault="00000000" w:rsidRPr="00000000" w14:paraId="0000002E">
            <w:pPr>
              <w:shd w:fill="ffffff" w:val="clear"/>
              <w:spacing w:after="0" w:line="240" w:lineRule="auto"/>
              <w:jc w:val="center"/>
              <w:rPr>
                <w:b w:val="1"/>
                <w:color w:val="000000"/>
              </w:rPr>
            </w:pPr>
            <w:r w:rsidDel="00000000" w:rsidR="00000000" w:rsidRPr="00000000">
              <w:rPr>
                <w:color w:val="000000"/>
                <w:rtl w:val="0"/>
              </w:rPr>
              <w:t xml:space="preserve">TID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0" w:type="dxa"/>
              <w:left w:w="150.0" w:type="dxa"/>
              <w:bottom w:w="150.0" w:type="dxa"/>
              <w:right w:w="150.0" w:type="dxa"/>
            </w:tcMar>
            <w:vAlign w:val="bottom"/>
          </w:tcPr>
          <w:p w:rsidR="00000000" w:rsidDel="00000000" w:rsidP="00000000" w:rsidRDefault="00000000" w:rsidRPr="00000000" w14:paraId="0000002F">
            <w:pPr>
              <w:shd w:fill="ffffff" w:val="clear"/>
              <w:spacing w:after="0" w:line="240" w:lineRule="auto"/>
              <w:jc w:val="center"/>
              <w:rPr>
                <w:b w:val="1"/>
                <w:color w:val="000000"/>
              </w:rPr>
            </w:pPr>
            <w:r w:rsidDel="00000000" w:rsidR="00000000" w:rsidRPr="00000000">
              <w:rPr>
                <w:color w:val="000000"/>
                <w:rtl w:val="0"/>
              </w:rPr>
              <w:t xml:space="preserve">Items</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10.0" w:type="dxa"/>
              <w:left w:w="150.0" w:type="dxa"/>
              <w:bottom w:w="210.0" w:type="dxa"/>
              <w:right w:w="150.0" w:type="dxa"/>
            </w:tcMar>
            <w:vAlign w:val="bottom"/>
          </w:tcPr>
          <w:p w:rsidR="00000000" w:rsidDel="00000000" w:rsidP="00000000" w:rsidRDefault="00000000" w:rsidRPr="00000000" w14:paraId="00000030">
            <w:pPr>
              <w:shd w:fill="ffffff" w:val="clear"/>
              <w:spacing w:after="0" w:line="240" w:lineRule="auto"/>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210.0" w:type="dxa"/>
              <w:left w:w="150.0" w:type="dxa"/>
              <w:bottom w:w="210.0" w:type="dxa"/>
              <w:right w:w="150.0" w:type="dxa"/>
            </w:tcMar>
            <w:vAlign w:val="bottom"/>
          </w:tcPr>
          <w:p w:rsidR="00000000" w:rsidDel="00000000" w:rsidP="00000000" w:rsidRDefault="00000000" w:rsidRPr="00000000" w14:paraId="00000031">
            <w:pPr>
              <w:shd w:fill="ffffff" w:val="clear"/>
              <w:spacing w:after="0" w:line="240" w:lineRule="auto"/>
              <w:jc w:val="center"/>
              <w:rPr>
                <w:color w:val="000000"/>
              </w:rPr>
            </w:pPr>
            <w:r w:rsidDel="00000000" w:rsidR="00000000" w:rsidRPr="00000000">
              <w:rPr>
                <w:color w:val="000000"/>
                <w:rtl w:val="0"/>
              </w:rPr>
              <w:t xml:space="preserve">Bread, Milk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10.0" w:type="dxa"/>
              <w:left w:w="150.0" w:type="dxa"/>
              <w:bottom w:w="210.0" w:type="dxa"/>
              <w:right w:w="150.0" w:type="dxa"/>
            </w:tcMar>
            <w:vAlign w:val="bottom"/>
          </w:tcPr>
          <w:p w:rsidR="00000000" w:rsidDel="00000000" w:rsidP="00000000" w:rsidRDefault="00000000" w:rsidRPr="00000000" w14:paraId="00000032">
            <w:pPr>
              <w:shd w:fill="ffffff" w:val="clear"/>
              <w:spacing w:after="0" w:line="240" w:lineRule="auto"/>
              <w:jc w:val="center"/>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210.0" w:type="dxa"/>
              <w:left w:w="150.0" w:type="dxa"/>
              <w:bottom w:w="210.0" w:type="dxa"/>
              <w:right w:w="150.0" w:type="dxa"/>
            </w:tcMar>
            <w:vAlign w:val="bottom"/>
          </w:tcPr>
          <w:p w:rsidR="00000000" w:rsidDel="00000000" w:rsidP="00000000" w:rsidRDefault="00000000" w:rsidRPr="00000000" w14:paraId="00000033">
            <w:pPr>
              <w:shd w:fill="ffffff" w:val="clear"/>
              <w:spacing w:after="0" w:line="240" w:lineRule="auto"/>
              <w:jc w:val="center"/>
              <w:rPr>
                <w:color w:val="000000"/>
              </w:rPr>
            </w:pPr>
            <w:r w:rsidDel="00000000" w:rsidR="00000000" w:rsidRPr="00000000">
              <w:rPr>
                <w:color w:val="000000"/>
                <w:rtl w:val="0"/>
              </w:rPr>
              <w:t xml:space="preserve">Bread, Diaper, Beer, Eggs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10.0" w:type="dxa"/>
              <w:left w:w="150.0" w:type="dxa"/>
              <w:bottom w:w="210.0" w:type="dxa"/>
              <w:right w:w="150.0" w:type="dxa"/>
            </w:tcMar>
            <w:vAlign w:val="bottom"/>
          </w:tcPr>
          <w:p w:rsidR="00000000" w:rsidDel="00000000" w:rsidP="00000000" w:rsidRDefault="00000000" w:rsidRPr="00000000" w14:paraId="00000034">
            <w:pPr>
              <w:shd w:fill="ffffff" w:val="clear"/>
              <w:spacing w:after="0" w:line="240" w:lineRule="auto"/>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210.0" w:type="dxa"/>
              <w:left w:w="150.0" w:type="dxa"/>
              <w:bottom w:w="210.0" w:type="dxa"/>
              <w:right w:w="150.0" w:type="dxa"/>
            </w:tcMar>
            <w:vAlign w:val="bottom"/>
          </w:tcPr>
          <w:p w:rsidR="00000000" w:rsidDel="00000000" w:rsidP="00000000" w:rsidRDefault="00000000" w:rsidRPr="00000000" w14:paraId="00000035">
            <w:pPr>
              <w:shd w:fill="ffffff" w:val="clear"/>
              <w:spacing w:after="0" w:line="240" w:lineRule="auto"/>
              <w:jc w:val="center"/>
              <w:rPr>
                <w:color w:val="000000"/>
              </w:rPr>
            </w:pPr>
            <w:r w:rsidDel="00000000" w:rsidR="00000000" w:rsidRPr="00000000">
              <w:rPr>
                <w:color w:val="000000"/>
                <w:rtl w:val="0"/>
              </w:rPr>
              <w:t xml:space="preserve">Milk, Diaper, Beer, Coke</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10.0" w:type="dxa"/>
              <w:left w:w="150.0" w:type="dxa"/>
              <w:bottom w:w="210.0" w:type="dxa"/>
              <w:right w:w="150.0" w:type="dxa"/>
            </w:tcMar>
            <w:vAlign w:val="bottom"/>
          </w:tcPr>
          <w:p w:rsidR="00000000" w:rsidDel="00000000" w:rsidP="00000000" w:rsidRDefault="00000000" w:rsidRPr="00000000" w14:paraId="00000036">
            <w:pPr>
              <w:shd w:fill="ffffff" w:val="clear"/>
              <w:spacing w:after="0" w:line="240" w:lineRule="auto"/>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210.0" w:type="dxa"/>
              <w:left w:w="150.0" w:type="dxa"/>
              <w:bottom w:w="210.0" w:type="dxa"/>
              <w:right w:w="150.0" w:type="dxa"/>
            </w:tcMar>
            <w:vAlign w:val="bottom"/>
          </w:tcPr>
          <w:p w:rsidR="00000000" w:rsidDel="00000000" w:rsidP="00000000" w:rsidRDefault="00000000" w:rsidRPr="00000000" w14:paraId="00000037">
            <w:pPr>
              <w:shd w:fill="ffffff" w:val="clear"/>
              <w:spacing w:after="0" w:line="240" w:lineRule="auto"/>
              <w:jc w:val="center"/>
              <w:rPr>
                <w:color w:val="000000"/>
              </w:rPr>
            </w:pPr>
            <w:r w:rsidDel="00000000" w:rsidR="00000000" w:rsidRPr="00000000">
              <w:rPr>
                <w:color w:val="000000"/>
                <w:rtl w:val="0"/>
              </w:rPr>
              <w:t xml:space="preserve">Bread, Milk, Diaper, Beer</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10.0" w:type="dxa"/>
              <w:left w:w="150.0" w:type="dxa"/>
              <w:bottom w:w="210.0" w:type="dxa"/>
              <w:right w:w="150.0" w:type="dxa"/>
            </w:tcMar>
            <w:vAlign w:val="bottom"/>
          </w:tcPr>
          <w:p w:rsidR="00000000" w:rsidDel="00000000" w:rsidP="00000000" w:rsidRDefault="00000000" w:rsidRPr="00000000" w14:paraId="00000038">
            <w:pPr>
              <w:shd w:fill="ffffff" w:val="clear"/>
              <w:spacing w:after="0" w:line="240" w:lineRule="auto"/>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210.0" w:type="dxa"/>
              <w:left w:w="150.0" w:type="dxa"/>
              <w:bottom w:w="210.0" w:type="dxa"/>
              <w:right w:w="150.0" w:type="dxa"/>
            </w:tcMar>
            <w:vAlign w:val="bottom"/>
          </w:tcPr>
          <w:p w:rsidR="00000000" w:rsidDel="00000000" w:rsidP="00000000" w:rsidRDefault="00000000" w:rsidRPr="00000000" w14:paraId="00000039">
            <w:pPr>
              <w:shd w:fill="ffffff" w:val="clear"/>
              <w:spacing w:after="0" w:line="240" w:lineRule="auto"/>
              <w:jc w:val="center"/>
              <w:rPr>
                <w:color w:val="000000"/>
              </w:rPr>
            </w:pPr>
            <w:r w:rsidDel="00000000" w:rsidR="00000000" w:rsidRPr="00000000">
              <w:rPr>
                <w:color w:val="000000"/>
                <w:rtl w:val="0"/>
              </w:rPr>
              <w:t xml:space="preserve">Bread, Milk, Diaper, Coke</w:t>
            </w:r>
          </w:p>
        </w:tc>
      </w:tr>
    </w:tbl>
    <w:p w:rsidR="00000000" w:rsidDel="00000000" w:rsidP="00000000" w:rsidRDefault="00000000" w:rsidRPr="00000000" w14:paraId="0000003A">
      <w:pPr>
        <w:shd w:fill="ffffff" w:val="clear"/>
        <w:spacing w:after="150" w:line="240" w:lineRule="auto"/>
        <w:ind w:left="360" w:firstLine="0"/>
        <w:jc w:val="center"/>
        <w:rPr>
          <w:color w:val="000000"/>
        </w:rPr>
      </w:pPr>
      <w:r w:rsidDel="00000000" w:rsidR="00000000" w:rsidRPr="00000000">
        <w:rPr>
          <w:rtl w:val="0"/>
        </w:rPr>
      </w:r>
    </w:p>
    <w:p w:rsidR="00000000" w:rsidDel="00000000" w:rsidP="00000000" w:rsidRDefault="00000000" w:rsidRPr="00000000" w14:paraId="0000003B">
      <w:pPr>
        <w:shd w:fill="ffffff" w:val="clear"/>
        <w:spacing w:after="0" w:line="240" w:lineRule="auto"/>
        <w:rPr>
          <w:color w:val="000000"/>
        </w:rPr>
      </w:pPr>
      <w:r w:rsidDel="00000000" w:rsidR="00000000" w:rsidRPr="00000000">
        <w:rPr>
          <w:b w:val="1"/>
          <w:color w:val="000000"/>
          <w:rtl w:val="0"/>
        </w:rPr>
        <w:t xml:space="preserve">Support Count ()</w:t>
      </w:r>
      <w:r w:rsidDel="00000000" w:rsidR="00000000" w:rsidRPr="00000000">
        <w:rPr>
          <w:color w:val="000000"/>
          <w:rtl w:val="0"/>
        </w:rPr>
        <w:t xml:space="preserve"> – Frequency of occurrence of a itemset.</w:t>
      </w:r>
    </w:p>
    <w:p w:rsidR="00000000" w:rsidDel="00000000" w:rsidP="00000000" w:rsidRDefault="00000000" w:rsidRPr="00000000" w14:paraId="0000003C">
      <w:pPr>
        <w:spacing w:after="150" w:line="240" w:lineRule="auto"/>
        <w:rPr>
          <w:color w:val="000000"/>
        </w:rPr>
      </w:pPr>
      <w:r w:rsidDel="00000000" w:rsidR="00000000" w:rsidRPr="00000000">
        <w:rPr>
          <w:color w:val="000000"/>
          <w:rtl w:val="0"/>
        </w:rPr>
        <w:t xml:space="preserve">Here  ({Milk, Bread, Diaper})= 2 </w:t>
      </w:r>
    </w:p>
    <w:p w:rsidR="00000000" w:rsidDel="00000000" w:rsidP="00000000" w:rsidRDefault="00000000" w:rsidRPr="00000000" w14:paraId="0000003D">
      <w:pPr>
        <w:shd w:fill="ffffff" w:val="clear"/>
        <w:spacing w:after="0" w:line="240" w:lineRule="auto"/>
        <w:rPr>
          <w:color w:val="000000"/>
        </w:rPr>
      </w:pPr>
      <w:r w:rsidDel="00000000" w:rsidR="00000000" w:rsidRPr="00000000">
        <w:rPr>
          <w:b w:val="1"/>
          <w:color w:val="000000"/>
          <w:rtl w:val="0"/>
        </w:rPr>
        <w:t xml:space="preserve">Frequent Itemset –</w:t>
      </w:r>
      <w:r w:rsidDel="00000000" w:rsidR="00000000" w:rsidRPr="00000000">
        <w:rPr>
          <w:color w:val="000000"/>
          <w:rtl w:val="0"/>
        </w:rPr>
        <w:t xml:space="preserve"> An itemset whose support is greater than or equal to minsup threshold.</w:t>
      </w:r>
    </w:p>
    <w:p w:rsidR="00000000" w:rsidDel="00000000" w:rsidP="00000000" w:rsidRDefault="00000000" w:rsidRPr="00000000" w14:paraId="0000003E">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3F">
      <w:pPr>
        <w:shd w:fill="ffffff" w:val="clear"/>
        <w:spacing w:after="0" w:line="240" w:lineRule="auto"/>
        <w:rPr>
          <w:color w:val="000000"/>
        </w:rPr>
      </w:pPr>
      <w:r w:rsidDel="00000000" w:rsidR="00000000" w:rsidRPr="00000000">
        <w:rPr>
          <w:b w:val="1"/>
          <w:color w:val="000000"/>
          <w:rtl w:val="0"/>
        </w:rPr>
        <w:t xml:space="preserve">Association Rule –</w:t>
      </w:r>
      <w:r w:rsidDel="00000000" w:rsidR="00000000" w:rsidRPr="00000000">
        <w:rPr>
          <w:color w:val="000000"/>
          <w:rtl w:val="0"/>
        </w:rPr>
        <w:t xml:space="preserve"> An implication expression of the form X Y, where X and Y are any 2 itemsets.</w:t>
      </w:r>
    </w:p>
    <w:p w:rsidR="00000000" w:rsidDel="00000000" w:rsidP="00000000" w:rsidRDefault="00000000" w:rsidRPr="00000000" w14:paraId="00000040">
      <w:pPr>
        <w:spacing w:after="0" w:line="240" w:lineRule="auto"/>
        <w:rPr>
          <w:color w:val="000000"/>
        </w:rPr>
      </w:pPr>
      <w:r w:rsidDel="00000000" w:rsidR="00000000" w:rsidRPr="00000000">
        <w:rPr>
          <w:rtl w:val="0"/>
        </w:rPr>
      </w:r>
    </w:p>
    <w:p w:rsidR="00000000" w:rsidDel="00000000" w:rsidP="00000000" w:rsidRDefault="00000000" w:rsidRPr="00000000" w14:paraId="00000041">
      <w:pPr>
        <w:shd w:fill="ffffff" w:val="clear"/>
        <w:spacing w:after="0" w:line="240" w:lineRule="auto"/>
        <w:rPr>
          <w:color w:val="000000"/>
        </w:rPr>
      </w:pPr>
      <w:r w:rsidDel="00000000" w:rsidR="00000000" w:rsidRPr="00000000">
        <w:rPr>
          <w:color w:val="000000"/>
          <w:rtl w:val="0"/>
        </w:rPr>
        <w:t xml:space="preserve">Example: {Milk, Diaper}{Beer} </w:t>
      </w:r>
    </w:p>
    <w:p w:rsidR="00000000" w:rsidDel="00000000" w:rsidP="00000000" w:rsidRDefault="00000000" w:rsidRPr="00000000" w14:paraId="00000042">
      <w:pPr>
        <w:spacing w:after="0" w:line="240" w:lineRule="auto"/>
        <w:rPr>
          <w:color w:val="000000"/>
        </w:rPr>
      </w:pPr>
      <w:r w:rsidDel="00000000" w:rsidR="00000000" w:rsidRPr="00000000">
        <w:rPr>
          <w:rtl w:val="0"/>
        </w:rPr>
      </w:r>
    </w:p>
    <w:p w:rsidR="00000000" w:rsidDel="00000000" w:rsidP="00000000" w:rsidRDefault="00000000" w:rsidRPr="00000000" w14:paraId="00000043">
      <w:pPr>
        <w:numPr>
          <w:ilvl w:val="0"/>
          <w:numId w:val="3"/>
        </w:numPr>
        <w:spacing w:after="0" w:line="240" w:lineRule="auto"/>
        <w:ind w:left="360" w:hanging="360"/>
        <w:jc w:val="both"/>
        <w:rPr>
          <w:b w:val="1"/>
          <w:color w:val="000000"/>
        </w:rPr>
      </w:pPr>
      <w:r w:rsidDel="00000000" w:rsidR="00000000" w:rsidRPr="00000000">
        <w:rPr>
          <w:color w:val="000000"/>
          <w:rtl w:val="0"/>
        </w:rPr>
        <w:t xml:space="preserve">WEKA contains an implementation of the Apriori algorithm. The algorithm works only with discrete data. </w:t>
      </w:r>
      <w:r w:rsidDel="00000000" w:rsidR="00000000" w:rsidRPr="00000000">
        <w:rPr>
          <w:rtl w:val="0"/>
        </w:rPr>
      </w:r>
    </w:p>
    <w:p w:rsidR="00000000" w:rsidDel="00000000" w:rsidP="00000000" w:rsidRDefault="00000000" w:rsidRPr="00000000" w14:paraId="00000044">
      <w:pPr>
        <w:numPr>
          <w:ilvl w:val="0"/>
          <w:numId w:val="3"/>
        </w:numPr>
        <w:spacing w:after="0" w:line="240" w:lineRule="auto"/>
        <w:ind w:left="360" w:hanging="360"/>
        <w:jc w:val="both"/>
        <w:rPr>
          <w:b w:val="1"/>
          <w:color w:val="000000"/>
        </w:rPr>
      </w:pPr>
      <w:r w:rsidDel="00000000" w:rsidR="00000000" w:rsidRPr="00000000">
        <w:rPr>
          <w:color w:val="000000"/>
          <w:rtl w:val="0"/>
        </w:rPr>
        <w:t xml:space="preserve">It can identify statistical dependencies between groups of attributes. </w:t>
      </w:r>
      <w:r w:rsidDel="00000000" w:rsidR="00000000" w:rsidRPr="00000000">
        <w:rPr>
          <w:rtl w:val="0"/>
        </w:rPr>
      </w:r>
    </w:p>
    <w:p w:rsidR="00000000" w:rsidDel="00000000" w:rsidP="00000000" w:rsidRDefault="00000000" w:rsidRPr="00000000" w14:paraId="00000045">
      <w:pPr>
        <w:numPr>
          <w:ilvl w:val="0"/>
          <w:numId w:val="3"/>
        </w:numPr>
        <w:spacing w:after="0" w:line="240" w:lineRule="auto"/>
        <w:ind w:left="360" w:hanging="360"/>
        <w:jc w:val="both"/>
        <w:rPr>
          <w:b w:val="1"/>
          <w:color w:val="000000"/>
        </w:rPr>
      </w:pPr>
      <w:r w:rsidDel="00000000" w:rsidR="00000000" w:rsidRPr="00000000">
        <w:rPr>
          <w:color w:val="000000"/>
          <w:rtl w:val="0"/>
        </w:rPr>
        <w:t xml:space="preserve">Apriori algorithm can compute all rules that have a given minimum support and exceed a given confidence. </w:t>
      </w:r>
      <w:r w:rsidDel="00000000" w:rsidR="00000000" w:rsidRPr="00000000">
        <w:rPr>
          <w:rtl w:val="0"/>
        </w:rPr>
      </w:r>
    </w:p>
    <w:p w:rsidR="00000000" w:rsidDel="00000000" w:rsidP="00000000" w:rsidRDefault="00000000" w:rsidRPr="00000000" w14:paraId="00000046">
      <w:pPr>
        <w:numPr>
          <w:ilvl w:val="0"/>
          <w:numId w:val="3"/>
        </w:numPr>
        <w:spacing w:after="0" w:line="240" w:lineRule="auto"/>
        <w:ind w:left="360" w:hanging="360"/>
        <w:jc w:val="both"/>
        <w:rPr>
          <w:b w:val="1"/>
          <w:color w:val="000000"/>
        </w:rPr>
      </w:pPr>
      <w:r w:rsidDel="00000000" w:rsidR="00000000" w:rsidRPr="00000000">
        <w:rPr>
          <w:color w:val="000000"/>
          <w:rtl w:val="0"/>
        </w:rPr>
        <w:t xml:space="preserve">Clicking on the "Associate" tab will bring up the interface for the association rule algorithms.</w:t>
      </w:r>
      <w:r w:rsidDel="00000000" w:rsidR="00000000" w:rsidRPr="00000000">
        <w:rPr>
          <w:rtl w:val="0"/>
        </w:rPr>
      </w:r>
    </w:p>
    <w:p w:rsidR="00000000" w:rsidDel="00000000" w:rsidP="00000000" w:rsidRDefault="00000000" w:rsidRPr="00000000" w14:paraId="00000047">
      <w:pPr>
        <w:numPr>
          <w:ilvl w:val="0"/>
          <w:numId w:val="3"/>
        </w:numPr>
        <w:spacing w:after="0" w:line="240" w:lineRule="auto"/>
        <w:ind w:left="360" w:hanging="360"/>
        <w:jc w:val="both"/>
        <w:rPr>
          <w:b w:val="1"/>
          <w:color w:val="000000"/>
        </w:rPr>
      </w:pPr>
      <w:r w:rsidDel="00000000" w:rsidR="00000000" w:rsidRPr="00000000">
        <w:rPr>
          <w:color w:val="000000"/>
          <w:rtl w:val="0"/>
        </w:rPr>
        <w:t xml:space="preserve">The Apriori algorithm which we will use is the default algorithm selected. However, in order to change the parameters for this run (e.g., support, confidence, etc.) we click on the text box immediately to the right of the "Choose" button. Note that this box, at any given time, shows the specific command line arguments that are to be used for the algorithm. </w:t>
      </w:r>
      <w:r w:rsidDel="00000000" w:rsidR="00000000" w:rsidRPr="00000000">
        <w:rPr>
          <w:rtl w:val="0"/>
        </w:rPr>
      </w:r>
    </w:p>
    <w:p w:rsidR="00000000" w:rsidDel="00000000" w:rsidP="00000000" w:rsidRDefault="00000000" w:rsidRPr="00000000" w14:paraId="00000048">
      <w:pPr>
        <w:numPr>
          <w:ilvl w:val="0"/>
          <w:numId w:val="3"/>
        </w:numPr>
        <w:spacing w:after="0" w:line="240" w:lineRule="auto"/>
        <w:ind w:left="360" w:hanging="360"/>
        <w:jc w:val="both"/>
        <w:rPr>
          <w:b w:val="1"/>
          <w:color w:val="000000"/>
        </w:rPr>
      </w:pPr>
      <w:r w:rsidDel="00000000" w:rsidR="00000000" w:rsidRPr="00000000">
        <w:rPr>
          <w:color w:val="000000"/>
          <w:rtl w:val="0"/>
        </w:rPr>
        <w:t xml:space="preserve">WEKA allows the resulting rules to be sorted according to different metrics such as confidence, leverage, and lift. We can also change the default value of rules (10) to be 20; this indicates that the program will report no more than the top 20 rules. The upper bound for minimum support is set to 1.0 (100%) and the lower bound to 0.1 (10%). </w:t>
      </w:r>
      <w:r w:rsidDel="00000000" w:rsidR="00000000" w:rsidRPr="00000000">
        <w:rPr>
          <w:rtl w:val="0"/>
        </w:rPr>
      </w:r>
    </w:p>
    <w:p w:rsidR="00000000" w:rsidDel="00000000" w:rsidP="00000000" w:rsidRDefault="00000000" w:rsidRPr="00000000" w14:paraId="00000049">
      <w:pPr>
        <w:numPr>
          <w:ilvl w:val="0"/>
          <w:numId w:val="3"/>
        </w:numPr>
        <w:spacing w:after="0" w:line="240" w:lineRule="auto"/>
        <w:ind w:left="360" w:hanging="360"/>
        <w:jc w:val="both"/>
        <w:rPr>
          <w:b w:val="1"/>
          <w:color w:val="000000"/>
        </w:rPr>
      </w:pPr>
      <w:r w:rsidDel="00000000" w:rsidR="00000000" w:rsidRPr="00000000">
        <w:rPr>
          <w:color w:val="000000"/>
          <w:rtl w:val="0"/>
        </w:rPr>
        <w:t xml:space="preserve">Apriori in WEKA starts with the upper bound support and incrementally decreases support (by delta increments which by default is set to 0.05 or 5%). The algorithm halts when either the specified number of rules are generated, or the lower bound for min. support is reached. Once the parameters have been set, the command line text box will show the new command line. We now click on start to run the program. This results in a set of rules. The panel on the left ("Result list") now shows an item indicating the algorithm that was run and the time of the run. You can perform multiple runs in the same session each time with different parameters. Each run will appear as an item in the Result list panel. Clicking on one of the results in this list will bring up the details of the run, including the discovered rules in the right panel. In addition, right-clicking on the result set allows us to save the result buffer into a separate file. Note that the rules were discovered based on the specified threshold values for support and lift. For each rule, the frequency counts for the LHS and RHS of each rule is given, as well as the values for confidence, lift, leverage, and conviction. In most cases, it is sufficient to focus on a combination of support, confidence, and either lift or leverage to quantitatively measure the "quality" of the rule. However, the real value of a rule, in terms of usefulness and action ability, is subjective and depends heavily on the particular domain and business objectives.</w:t>
      </w:r>
      <w:r w:rsidDel="00000000" w:rsidR="00000000" w:rsidRPr="00000000">
        <w:rPr>
          <w:rtl w:val="0"/>
        </w:rPr>
      </w:r>
    </w:p>
    <w:p w:rsidR="00000000" w:rsidDel="00000000" w:rsidP="00000000" w:rsidRDefault="00000000" w:rsidRPr="00000000" w14:paraId="0000004A">
      <w:pPr>
        <w:spacing w:after="240" w:line="240" w:lineRule="auto"/>
        <w:rPr>
          <w:b w:val="1"/>
          <w:color w:val="000000"/>
        </w:rPr>
      </w:pPr>
      <w:r w:rsidDel="00000000" w:rsidR="00000000" w:rsidRPr="00000000">
        <w:rPr>
          <w:color w:val="000000"/>
          <w:rtl w:val="0"/>
        </w:rPr>
        <w:br w:type="textWrapping"/>
        <w:br w:type="textWrapping"/>
        <w:br w:type="textWrapping"/>
      </w:r>
      <w:r w:rsidDel="00000000" w:rsidR="00000000" w:rsidRPr="00000000">
        <w:rPr>
          <w:b w:val="1"/>
          <w:color w:val="000000"/>
          <w:rtl w:val="0"/>
        </w:rPr>
        <w:t xml:space="preserve">OUTPUT:</w:t>
      </w:r>
    </w:p>
    <w:p w:rsidR="00000000" w:rsidDel="00000000" w:rsidP="00000000" w:rsidRDefault="00000000" w:rsidRPr="00000000" w14:paraId="0000004B">
      <w:pPr>
        <w:spacing w:after="240" w:line="240" w:lineRule="auto"/>
        <w:rPr>
          <w:b w:val="1"/>
          <w:color w:val="000000"/>
        </w:rPr>
      </w:pPr>
      <w:r w:rsidDel="00000000" w:rsidR="00000000" w:rsidRPr="00000000">
        <w:rPr>
          <w:b w:val="1"/>
          <w:color w:val="000000"/>
        </w:rPr>
        <w:drawing>
          <wp:inline distB="114300" distT="114300" distL="114300" distR="114300">
            <wp:extent cx="5731200" cy="25400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b w:val="1"/>
          <w:color w:val="000000"/>
          <w:rtl w:val="0"/>
        </w:rPr>
        <w:br w:type="textWrapping"/>
      </w:r>
    </w:p>
    <w:p w:rsidR="00000000" w:rsidDel="00000000" w:rsidP="00000000" w:rsidRDefault="00000000" w:rsidRPr="00000000" w14:paraId="0000004C">
      <w:pPr>
        <w:spacing w:after="240" w:line="240" w:lineRule="auto"/>
        <w:rPr>
          <w:b w:val="1"/>
          <w:color w:val="000000"/>
        </w:rPr>
      </w:pPr>
      <w:r w:rsidDel="00000000" w:rsidR="00000000" w:rsidRPr="00000000">
        <w:rPr>
          <w:b w:val="1"/>
          <w:color w:val="000000"/>
        </w:rPr>
        <w:drawing>
          <wp:inline distB="114300" distT="114300" distL="114300" distR="114300">
            <wp:extent cx="5731200" cy="18415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line="240" w:lineRule="auto"/>
        <w:rPr>
          <w:color w:val="000000"/>
        </w:rPr>
      </w:pPr>
      <w:r w:rsidDel="00000000" w:rsidR="00000000" w:rsidRPr="00000000">
        <w:rPr>
          <w:b w:val="1"/>
          <w:color w:val="000000"/>
          <w:rtl w:val="0"/>
        </w:rPr>
        <w:t xml:space="preserve">Conclusion:</w:t>
      </w:r>
      <w:r w:rsidDel="00000000" w:rsidR="00000000" w:rsidRPr="00000000">
        <w:rPr>
          <w:color w:val="000000"/>
          <w:rtl w:val="0"/>
        </w:rPr>
        <w:t xml:space="preserve"> </w:t>
      </w:r>
    </w:p>
    <w:p w:rsidR="00000000" w:rsidDel="00000000" w:rsidP="00000000" w:rsidRDefault="00000000" w:rsidRPr="00000000" w14:paraId="0000004E">
      <w:pPr>
        <w:spacing w:after="240" w:line="240" w:lineRule="auto"/>
        <w:rPr>
          <w:b w:val="1"/>
        </w:rPr>
      </w:pPr>
      <w:r w:rsidDel="00000000" w:rsidR="00000000" w:rsidRPr="00000000">
        <w:rPr>
          <w:b w:val="1"/>
          <w:rtl w:val="0"/>
        </w:rPr>
        <w:t xml:space="preserve">Explain the main steps involved in the Apriori algorithm.</w:t>
      </w:r>
    </w:p>
    <w:p w:rsidR="00000000" w:rsidDel="00000000" w:rsidP="00000000" w:rsidRDefault="00000000" w:rsidRPr="00000000" w14:paraId="0000004F">
      <w:pPr>
        <w:spacing w:after="240" w:before="240" w:line="240" w:lineRule="auto"/>
        <w:rPr/>
      </w:pPr>
      <w:r w:rsidDel="00000000" w:rsidR="00000000" w:rsidRPr="00000000">
        <w:rPr>
          <w:rtl w:val="0"/>
        </w:rPr>
        <w:t xml:space="preserve">Main Steps Involved in the Apriori Algorithm:</w:t>
      </w:r>
    </w:p>
    <w:p w:rsidR="00000000" w:rsidDel="00000000" w:rsidP="00000000" w:rsidRDefault="00000000" w:rsidRPr="00000000" w14:paraId="00000050">
      <w:pPr>
        <w:numPr>
          <w:ilvl w:val="0"/>
          <w:numId w:val="4"/>
        </w:numPr>
        <w:spacing w:after="0" w:before="240" w:line="240" w:lineRule="auto"/>
        <w:ind w:left="720" w:hanging="360"/>
        <w:rPr/>
      </w:pPr>
      <w:r w:rsidDel="00000000" w:rsidR="00000000" w:rsidRPr="00000000">
        <w:rPr>
          <w:rtl w:val="0"/>
        </w:rPr>
        <w:t xml:space="preserve">Set Minimum Support Threshold:</w:t>
        <w:br w:type="textWrapping"/>
        <w:t xml:space="preserve"> Define a minimum support value to filter out itemsets that appear less frequently in the dataset.</w:t>
        <w:br w:type="textWrapping"/>
      </w:r>
    </w:p>
    <w:p w:rsidR="00000000" w:rsidDel="00000000" w:rsidP="00000000" w:rsidRDefault="00000000" w:rsidRPr="00000000" w14:paraId="00000051">
      <w:pPr>
        <w:numPr>
          <w:ilvl w:val="0"/>
          <w:numId w:val="4"/>
        </w:numPr>
        <w:spacing w:after="0" w:before="0" w:line="240" w:lineRule="auto"/>
        <w:ind w:left="720" w:hanging="360"/>
        <w:rPr/>
      </w:pPr>
      <w:r w:rsidDel="00000000" w:rsidR="00000000" w:rsidRPr="00000000">
        <w:rPr>
          <w:rtl w:val="0"/>
        </w:rPr>
        <w:t xml:space="preserve">Find Frequent 1-Itemsets:</w:t>
        <w:br w:type="textWrapping"/>
        <w:t xml:space="preserve"> Scan the dataset to identify all single items that satisfy the minimum support threshold. These are called frequent 1-itemsets.</w:t>
        <w:br w:type="textWrapping"/>
      </w:r>
    </w:p>
    <w:p w:rsidR="00000000" w:rsidDel="00000000" w:rsidP="00000000" w:rsidRDefault="00000000" w:rsidRPr="00000000" w14:paraId="00000052">
      <w:pPr>
        <w:numPr>
          <w:ilvl w:val="0"/>
          <w:numId w:val="4"/>
        </w:numPr>
        <w:spacing w:after="0" w:before="0" w:line="240" w:lineRule="auto"/>
        <w:ind w:left="720" w:hanging="360"/>
        <w:rPr/>
      </w:pPr>
      <w:r w:rsidDel="00000000" w:rsidR="00000000" w:rsidRPr="00000000">
        <w:rPr>
          <w:rtl w:val="0"/>
        </w:rPr>
        <w:t xml:space="preserve">Generate Candidate k-Itemsets:</w:t>
        <w:br w:type="textWrapping"/>
        <w:t xml:space="preserve"> Combine the frequent (k−1)-itemsets to form new candidate itemsets of size k.</w:t>
        <w:br w:type="textWrapping"/>
      </w:r>
    </w:p>
    <w:p w:rsidR="00000000" w:rsidDel="00000000" w:rsidP="00000000" w:rsidRDefault="00000000" w:rsidRPr="00000000" w14:paraId="00000053">
      <w:pPr>
        <w:numPr>
          <w:ilvl w:val="0"/>
          <w:numId w:val="4"/>
        </w:numPr>
        <w:spacing w:after="0" w:before="0" w:line="240" w:lineRule="auto"/>
        <w:ind w:left="720" w:hanging="360"/>
        <w:rPr/>
      </w:pPr>
      <w:r w:rsidDel="00000000" w:rsidR="00000000" w:rsidRPr="00000000">
        <w:rPr>
          <w:rtl w:val="0"/>
        </w:rPr>
        <w:t xml:space="preserve">Prune Infrequent Itemsets:</w:t>
        <w:br w:type="textWrapping"/>
        <w:t xml:space="preserve"> Calculate the support of each candidate k-itemset and remove those that do not meet the minimum support requirement.</w:t>
        <w:br w:type="textWrapping"/>
      </w:r>
    </w:p>
    <w:p w:rsidR="00000000" w:rsidDel="00000000" w:rsidP="00000000" w:rsidRDefault="00000000" w:rsidRPr="00000000" w14:paraId="00000054">
      <w:pPr>
        <w:numPr>
          <w:ilvl w:val="0"/>
          <w:numId w:val="4"/>
        </w:numPr>
        <w:spacing w:after="0" w:before="0" w:line="240" w:lineRule="auto"/>
        <w:ind w:left="720" w:hanging="360"/>
        <w:rPr/>
      </w:pPr>
      <w:r w:rsidDel="00000000" w:rsidR="00000000" w:rsidRPr="00000000">
        <w:rPr>
          <w:rtl w:val="0"/>
        </w:rPr>
        <w:t xml:space="preserve">Repeat Until No New Frequent Itemsets Are Found:</w:t>
        <w:br w:type="textWrapping"/>
        <w:t xml:space="preserve"> Continue generating and pruning larger itemsets (2-itemsets, 3-itemsets, etc.) until no more frequent itemsets can be formed.</w:t>
        <w:br w:type="textWrapping"/>
      </w:r>
    </w:p>
    <w:p w:rsidR="00000000" w:rsidDel="00000000" w:rsidP="00000000" w:rsidRDefault="00000000" w:rsidRPr="00000000" w14:paraId="00000055">
      <w:pPr>
        <w:numPr>
          <w:ilvl w:val="0"/>
          <w:numId w:val="4"/>
        </w:numPr>
        <w:spacing w:after="0" w:before="0" w:line="240" w:lineRule="auto"/>
        <w:ind w:left="720" w:hanging="360"/>
        <w:rPr/>
      </w:pPr>
      <w:r w:rsidDel="00000000" w:rsidR="00000000" w:rsidRPr="00000000">
        <w:rPr>
          <w:rtl w:val="0"/>
        </w:rPr>
        <w:t xml:space="preserve">Generate Association Rules:</w:t>
        <w:br w:type="textWrapping"/>
        <w:t xml:space="preserve"> From the frequent itemsets, create rules of the form X ⇒ Y and compute their confidence, which measures how often Y appears in transactions containing X.</w:t>
        <w:br w:type="textWrapping"/>
      </w:r>
    </w:p>
    <w:p w:rsidR="00000000" w:rsidDel="00000000" w:rsidP="00000000" w:rsidRDefault="00000000" w:rsidRPr="00000000" w14:paraId="00000056">
      <w:pPr>
        <w:numPr>
          <w:ilvl w:val="0"/>
          <w:numId w:val="4"/>
        </w:numPr>
        <w:spacing w:after="240" w:before="0" w:line="240" w:lineRule="auto"/>
        <w:ind w:left="720" w:hanging="360"/>
        <w:rPr/>
      </w:pPr>
      <w:r w:rsidDel="00000000" w:rsidR="00000000" w:rsidRPr="00000000">
        <w:rPr>
          <w:rtl w:val="0"/>
        </w:rPr>
        <w:t xml:space="preserve">Filter Strong Rules:</w:t>
        <w:br w:type="textWrapping"/>
        <w:t xml:space="preserve"> Keep only those rules that meet the minimum confidence threshold. These rules represent the strongest and most useful associations in the dataset.</w:t>
      </w:r>
    </w:p>
    <w:p w:rsidR="00000000" w:rsidDel="00000000" w:rsidP="00000000" w:rsidRDefault="00000000" w:rsidRPr="00000000" w14:paraId="00000057">
      <w:pPr>
        <w:spacing w:after="240" w:line="240" w:lineRule="auto"/>
        <w:rPr/>
      </w:pPr>
      <w:r w:rsidDel="00000000" w:rsidR="00000000" w:rsidRPr="00000000">
        <w:rPr>
          <w:rtl w:val="0"/>
        </w:rPr>
      </w:r>
    </w:p>
    <w:p w:rsidR="00000000" w:rsidDel="00000000" w:rsidP="00000000" w:rsidRDefault="00000000" w:rsidRPr="00000000" w14:paraId="00000058">
      <w:pPr>
        <w:spacing w:after="240" w:line="240" w:lineRule="auto"/>
        <w:rPr/>
      </w:pPr>
      <w:r w:rsidDel="00000000" w:rsidR="00000000" w:rsidRPr="00000000">
        <w:rPr>
          <w:b w:val="1"/>
          <w:rtl w:val="0"/>
        </w:rPr>
        <w:t xml:space="preserve">What are the key parameters in the Apriori algorithm and how do they affect its performance?</w:t>
      </w:r>
      <w:r w:rsidDel="00000000" w:rsidR="00000000" w:rsidRPr="00000000">
        <w:rPr>
          <w:rtl w:val="0"/>
        </w:rPr>
        <w:br w:type="textWrapping"/>
        <w:t xml:space="preserve">Key Parameters in the Apriori Algorithm and Their Effects on Performance:</w:t>
      </w:r>
    </w:p>
    <w:p w:rsidR="00000000" w:rsidDel="00000000" w:rsidP="00000000" w:rsidRDefault="00000000" w:rsidRPr="00000000" w14:paraId="00000059">
      <w:pPr>
        <w:numPr>
          <w:ilvl w:val="0"/>
          <w:numId w:val="1"/>
        </w:numPr>
        <w:spacing w:after="0" w:before="240" w:line="240" w:lineRule="auto"/>
        <w:ind w:left="720" w:hanging="360"/>
        <w:rPr/>
      </w:pPr>
      <w:r w:rsidDel="00000000" w:rsidR="00000000" w:rsidRPr="00000000">
        <w:rPr>
          <w:rtl w:val="0"/>
        </w:rPr>
        <w:t xml:space="preserve">Support:</w:t>
        <w:br w:type="textWrapping"/>
        <w:t xml:space="preserve"> Defines how frequently an itemset appears in the dataset.</w:t>
        <w:br w:type="textWrapping"/>
      </w:r>
    </w:p>
    <w:p w:rsidR="00000000" w:rsidDel="00000000" w:rsidP="00000000" w:rsidRDefault="00000000" w:rsidRPr="00000000" w14:paraId="0000005A">
      <w:pPr>
        <w:numPr>
          <w:ilvl w:val="1"/>
          <w:numId w:val="1"/>
        </w:numPr>
        <w:spacing w:after="0" w:before="0" w:line="240" w:lineRule="auto"/>
        <w:ind w:left="1440" w:hanging="360"/>
        <w:rPr/>
      </w:pPr>
      <w:r w:rsidDel="00000000" w:rsidR="00000000" w:rsidRPr="00000000">
        <w:rPr>
          <w:rtl w:val="0"/>
        </w:rPr>
        <w:t xml:space="preserve">Higher support values make the algorithm faster but may ignore useful, less frequent patterns.</w:t>
        <w:br w:type="textWrapping"/>
      </w:r>
    </w:p>
    <w:p w:rsidR="00000000" w:rsidDel="00000000" w:rsidP="00000000" w:rsidRDefault="00000000" w:rsidRPr="00000000" w14:paraId="0000005B">
      <w:pPr>
        <w:numPr>
          <w:ilvl w:val="1"/>
          <w:numId w:val="1"/>
        </w:numPr>
        <w:spacing w:after="0" w:before="0" w:line="240" w:lineRule="auto"/>
        <w:ind w:left="1440" w:hanging="360"/>
        <w:rPr/>
      </w:pPr>
      <w:r w:rsidDel="00000000" w:rsidR="00000000" w:rsidRPr="00000000">
        <w:rPr>
          <w:rtl w:val="0"/>
        </w:rPr>
        <w:t xml:space="preserve">Lower support values include more itemsets but increase computation time.</w:t>
        <w:br w:type="textWrapping"/>
      </w:r>
    </w:p>
    <w:p w:rsidR="00000000" w:rsidDel="00000000" w:rsidP="00000000" w:rsidRDefault="00000000" w:rsidRPr="00000000" w14:paraId="0000005C">
      <w:pPr>
        <w:numPr>
          <w:ilvl w:val="0"/>
          <w:numId w:val="1"/>
        </w:numPr>
        <w:spacing w:after="0" w:before="0" w:line="240" w:lineRule="auto"/>
        <w:ind w:left="720" w:hanging="360"/>
        <w:rPr/>
      </w:pPr>
      <w:r w:rsidDel="00000000" w:rsidR="00000000" w:rsidRPr="00000000">
        <w:rPr>
          <w:rtl w:val="0"/>
        </w:rPr>
        <w:t xml:space="preserve">Confidence:</w:t>
        <w:br w:type="textWrapping"/>
        <w:t xml:space="preserve"> Measures the reliability of an association rule (how often Y appears in transactions containing X).</w:t>
        <w:br w:type="textWrapping"/>
      </w:r>
    </w:p>
    <w:p w:rsidR="00000000" w:rsidDel="00000000" w:rsidP="00000000" w:rsidRDefault="00000000" w:rsidRPr="00000000" w14:paraId="0000005D">
      <w:pPr>
        <w:numPr>
          <w:ilvl w:val="1"/>
          <w:numId w:val="1"/>
        </w:numPr>
        <w:spacing w:after="0" w:before="0" w:line="240" w:lineRule="auto"/>
        <w:ind w:left="1440" w:hanging="360"/>
        <w:rPr/>
      </w:pPr>
      <w:r w:rsidDel="00000000" w:rsidR="00000000" w:rsidRPr="00000000">
        <w:rPr>
          <w:rtl w:val="0"/>
        </w:rPr>
        <w:t xml:space="preserve">Higher confidence generates fewer but stronger rules.</w:t>
        <w:br w:type="textWrapping"/>
      </w:r>
    </w:p>
    <w:p w:rsidR="00000000" w:rsidDel="00000000" w:rsidP="00000000" w:rsidRDefault="00000000" w:rsidRPr="00000000" w14:paraId="0000005E">
      <w:pPr>
        <w:numPr>
          <w:ilvl w:val="1"/>
          <w:numId w:val="1"/>
        </w:numPr>
        <w:spacing w:after="0" w:before="0" w:line="240" w:lineRule="auto"/>
        <w:ind w:left="1440" w:hanging="360"/>
        <w:rPr/>
      </w:pPr>
      <w:r w:rsidDel="00000000" w:rsidR="00000000" w:rsidRPr="00000000">
        <w:rPr>
          <w:rtl w:val="0"/>
        </w:rPr>
        <w:t xml:space="preserve">Lower confidence produces more rules, including weaker ones.</w:t>
        <w:br w:type="textWrapping"/>
      </w:r>
    </w:p>
    <w:p w:rsidR="00000000" w:rsidDel="00000000" w:rsidP="00000000" w:rsidRDefault="00000000" w:rsidRPr="00000000" w14:paraId="0000005F">
      <w:pPr>
        <w:numPr>
          <w:ilvl w:val="0"/>
          <w:numId w:val="1"/>
        </w:numPr>
        <w:spacing w:after="0" w:before="0" w:line="240" w:lineRule="auto"/>
        <w:ind w:left="720" w:hanging="360"/>
        <w:rPr/>
      </w:pPr>
      <w:r w:rsidDel="00000000" w:rsidR="00000000" w:rsidRPr="00000000">
        <w:rPr>
          <w:rtl w:val="0"/>
        </w:rPr>
        <w:t xml:space="preserve">Lift:</w:t>
        <w:br w:type="textWrapping"/>
        <w:t xml:space="preserve"> Evaluates how much more likely X and Y occur together than if they were independent.</w:t>
        <w:br w:type="textWrapping"/>
      </w:r>
    </w:p>
    <w:p w:rsidR="00000000" w:rsidDel="00000000" w:rsidP="00000000" w:rsidRDefault="00000000" w:rsidRPr="00000000" w14:paraId="00000060">
      <w:pPr>
        <w:numPr>
          <w:ilvl w:val="1"/>
          <w:numId w:val="1"/>
        </w:numPr>
        <w:spacing w:after="0" w:before="0" w:line="240" w:lineRule="auto"/>
        <w:ind w:left="1440" w:hanging="360"/>
        <w:rPr/>
      </w:pPr>
      <w:r w:rsidDel="00000000" w:rsidR="00000000" w:rsidRPr="00000000">
        <w:rPr>
          <w:rtl w:val="0"/>
        </w:rPr>
        <w:t xml:space="preserve">A higher lift indicates a stronger and more meaningful relationship between items.</w:t>
        <w:br w:type="textWrapping"/>
      </w:r>
    </w:p>
    <w:p w:rsidR="00000000" w:rsidDel="00000000" w:rsidP="00000000" w:rsidRDefault="00000000" w:rsidRPr="00000000" w14:paraId="00000061">
      <w:pPr>
        <w:numPr>
          <w:ilvl w:val="0"/>
          <w:numId w:val="1"/>
        </w:numPr>
        <w:spacing w:after="0" w:before="0" w:line="240" w:lineRule="auto"/>
        <w:ind w:left="720" w:hanging="360"/>
        <w:rPr/>
      </w:pPr>
      <w:r w:rsidDel="00000000" w:rsidR="00000000" w:rsidRPr="00000000">
        <w:rPr>
          <w:rtl w:val="0"/>
        </w:rPr>
        <w:t xml:space="preserve">Delta:</w:t>
        <w:br w:type="textWrapping"/>
        <w:t xml:space="preserve"> Controls how much the minimum support decreases in each iteration.</w:t>
        <w:br w:type="textWrapping"/>
      </w:r>
    </w:p>
    <w:p w:rsidR="00000000" w:rsidDel="00000000" w:rsidP="00000000" w:rsidRDefault="00000000" w:rsidRPr="00000000" w14:paraId="00000062">
      <w:pPr>
        <w:numPr>
          <w:ilvl w:val="1"/>
          <w:numId w:val="1"/>
        </w:numPr>
        <w:spacing w:after="0" w:before="0" w:line="240" w:lineRule="auto"/>
        <w:ind w:left="1440" w:hanging="360"/>
        <w:rPr/>
      </w:pPr>
      <w:r w:rsidDel="00000000" w:rsidR="00000000" w:rsidRPr="00000000">
        <w:rPr>
          <w:rtl w:val="0"/>
        </w:rPr>
        <w:t xml:space="preserve">Smaller delta gives finer results but increases runtime.</w:t>
        <w:br w:type="textWrapping"/>
      </w:r>
    </w:p>
    <w:p w:rsidR="00000000" w:rsidDel="00000000" w:rsidP="00000000" w:rsidRDefault="00000000" w:rsidRPr="00000000" w14:paraId="00000063">
      <w:pPr>
        <w:numPr>
          <w:ilvl w:val="1"/>
          <w:numId w:val="1"/>
        </w:numPr>
        <w:spacing w:after="0" w:before="0" w:line="240" w:lineRule="auto"/>
        <w:ind w:left="1440" w:hanging="360"/>
        <w:rPr/>
      </w:pPr>
      <w:r w:rsidDel="00000000" w:rsidR="00000000" w:rsidRPr="00000000">
        <w:rPr>
          <w:rtl w:val="0"/>
        </w:rPr>
        <w:t xml:space="preserve">Larger delta speeds up execution but might miss some rules.</w:t>
        <w:br w:type="textWrapping"/>
      </w:r>
    </w:p>
    <w:p w:rsidR="00000000" w:rsidDel="00000000" w:rsidP="00000000" w:rsidRDefault="00000000" w:rsidRPr="00000000" w14:paraId="00000064">
      <w:pPr>
        <w:numPr>
          <w:ilvl w:val="0"/>
          <w:numId w:val="1"/>
        </w:numPr>
        <w:spacing w:after="0" w:before="0" w:line="240" w:lineRule="auto"/>
        <w:ind w:left="720" w:hanging="360"/>
        <w:rPr/>
      </w:pPr>
      <w:r w:rsidDel="00000000" w:rsidR="00000000" w:rsidRPr="00000000">
        <w:rPr>
          <w:rtl w:val="0"/>
        </w:rPr>
        <w:t xml:space="preserve">Number of Rules (NumRules):</w:t>
        <w:br w:type="textWrapping"/>
        <w:t xml:space="preserve"> Specifies how many top rules to generate.</w:t>
        <w:br w:type="textWrapping"/>
      </w:r>
    </w:p>
    <w:p w:rsidR="00000000" w:rsidDel="00000000" w:rsidP="00000000" w:rsidRDefault="00000000" w:rsidRPr="00000000" w14:paraId="00000065">
      <w:pPr>
        <w:numPr>
          <w:ilvl w:val="1"/>
          <w:numId w:val="1"/>
        </w:numPr>
        <w:spacing w:after="0" w:before="0" w:line="240" w:lineRule="auto"/>
        <w:ind w:left="1440" w:hanging="360"/>
        <w:rPr/>
      </w:pPr>
      <w:r w:rsidDel="00000000" w:rsidR="00000000" w:rsidRPr="00000000">
        <w:rPr>
          <w:rtl w:val="0"/>
        </w:rPr>
        <w:t xml:space="preserve">A smaller number gives a concise output.</w:t>
        <w:br w:type="textWrapping"/>
      </w:r>
    </w:p>
    <w:p w:rsidR="00000000" w:rsidDel="00000000" w:rsidP="00000000" w:rsidRDefault="00000000" w:rsidRPr="00000000" w14:paraId="00000066">
      <w:pPr>
        <w:numPr>
          <w:ilvl w:val="1"/>
          <w:numId w:val="1"/>
        </w:numPr>
        <w:spacing w:after="240" w:before="0" w:line="240" w:lineRule="auto"/>
        <w:ind w:left="1440" w:hanging="360"/>
        <w:rPr/>
      </w:pPr>
      <w:r w:rsidDel="00000000" w:rsidR="00000000" w:rsidRPr="00000000">
        <w:rPr>
          <w:rtl w:val="0"/>
        </w:rPr>
        <w:t xml:space="preserve">A larger number provides more insights but takes longer to process.</w:t>
        <w:br w:type="textWrapping"/>
      </w:r>
    </w:p>
    <w:p w:rsidR="00000000" w:rsidDel="00000000" w:rsidP="00000000" w:rsidRDefault="00000000" w:rsidRPr="00000000" w14:paraId="00000067">
      <w:pPr>
        <w:spacing w:after="240" w:before="240" w:line="240" w:lineRule="auto"/>
        <w:rPr/>
      </w:pPr>
      <w:r w:rsidDel="00000000" w:rsidR="00000000" w:rsidRPr="00000000">
        <w:rPr>
          <w:rtl w:val="0"/>
        </w:rPr>
        <w:t xml:space="preserve">Together, these parameters balance the accuracy, relevance, and efficiency of the Apriori algorithm’s results.</w:t>
      </w:r>
    </w:p>
    <w:p w:rsidR="00000000" w:rsidDel="00000000" w:rsidP="00000000" w:rsidRDefault="00000000" w:rsidRPr="00000000" w14:paraId="00000068">
      <w:pPr>
        <w:spacing w:after="240" w:line="240" w:lineRule="auto"/>
        <w:rPr/>
      </w:pPr>
      <w:r w:rsidDel="00000000" w:rsidR="00000000" w:rsidRPr="00000000">
        <w:rPr>
          <w:rtl w:val="0"/>
        </w:rPr>
      </w:r>
    </w:p>
    <w:p w:rsidR="00000000" w:rsidDel="00000000" w:rsidP="00000000" w:rsidRDefault="00000000" w:rsidRPr="00000000" w14:paraId="00000069">
      <w:pPr>
        <w:spacing w:after="240" w:line="240" w:lineRule="auto"/>
        <w:rPr/>
      </w:pPr>
      <w:r w:rsidDel="00000000" w:rsidR="00000000" w:rsidRPr="00000000">
        <w:rPr>
          <w:rtl w:val="0"/>
        </w:rPr>
      </w:r>
    </w:p>
    <w:p w:rsidR="00000000" w:rsidDel="00000000" w:rsidP="00000000" w:rsidRDefault="00000000" w:rsidRPr="00000000" w14:paraId="0000006A">
      <w:pPr>
        <w:spacing w:line="240" w:lineRule="auto"/>
        <w:rPr>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r>
    </w:p>
    <w:sectPr>
      <w:headerReference r:id="rId9" w:type="default"/>
      <w:headerReference r:id="rId10" w:type="first"/>
      <w:pgSz w:h="16838" w:w="11906" w:orient="portrait"/>
      <w:pgMar w:bottom="1080" w:top="1440" w:left="1440" w:right="1440" w:header="706"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tabs>
        <w:tab w:val="center" w:leader="none" w:pos="4513"/>
        <w:tab w:val="right" w:leader="none" w:pos="9026"/>
      </w:tabs>
      <w:spacing w:after="0" w:line="240" w:lineRule="auto"/>
      <w:rPr/>
    </w:pPr>
    <w:r w:rsidDel="00000000" w:rsidR="00000000" w:rsidRPr="00000000">
      <w:rPr>
        <w:rtl w:val="0"/>
      </w:rPr>
    </w:r>
  </w:p>
  <w:p w:rsidR="00000000" w:rsidDel="00000000" w:rsidP="00000000" w:rsidRDefault="00000000" w:rsidRPr="00000000" w14:paraId="0000006C">
    <w:pPr>
      <w:tabs>
        <w:tab w:val="center" w:leader="none" w:pos="4513"/>
        <w:tab w:val="right" w:leader="none" w:pos="9026"/>
      </w:tabs>
      <w:spacing w:after="0" w:line="240" w:lineRule="auto"/>
      <w:rPr/>
    </w:pPr>
    <w:r w:rsidDel="00000000" w:rsidR="00000000" w:rsidRPr="00000000">
      <w:rPr/>
      <w:drawing>
        <wp:inline distB="114300" distT="114300" distL="114300" distR="114300">
          <wp:extent cx="5731200" cy="66040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60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drawing>
        <wp:inline distB="114300" distT="114300" distL="114300" distR="114300">
          <wp:extent cx="5731200" cy="66040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60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00000a"/>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a"/>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mbria" w:cs="Cambria" w:eastAsia="Cambria" w:hAnsi="Cambria"/>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mbria" w:cs="Cambria" w:eastAsia="Cambria" w:hAnsi="Cambria"/>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mbria" w:cs="Cambria" w:eastAsia="Cambria" w:hAnsi="Cambria"/>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a"/>
      <w:sz w:val="72"/>
      <w:szCs w:val="72"/>
      <w:u w:val="none"/>
      <w:shd w:fill="auto" w:val="clear"/>
      <w:vertAlign w:val="baseline"/>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jPdwHJIFxsplwdq56XNeS925EA==">CgMxLjA4AHIhMUkzVTU1eDVEMFkyWGZvbzJtT0lsbDhmcUdWU1dscVZS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Company">
    <vt:lpwstr>Vidyavardhini’s College of Engineering &amp; Technology</vt:lpwstr>
  </property>
  <property fmtid="{D5CDD505-2E9C-101B-9397-08002B2CF9AE}" pid="5" name="DocSecurity">
    <vt:lpwstr>0</vt:lpwstr>
  </property>
  <property fmtid="{D5CDD505-2E9C-101B-9397-08002B2CF9AE}" pid="6" name="HyperlinksChanged">
    <vt:lpwstr>false</vt:lpwstr>
  </property>
  <property fmtid="{D5CDD505-2E9C-101B-9397-08002B2CF9AE}" pid="7" name="LinksUpToDate">
    <vt:lpwstr>false</vt:lpwstr>
  </property>
  <property fmtid="{D5CDD505-2E9C-101B-9397-08002B2CF9AE}" pid="8" name="ShareDoc">
    <vt:lpwstr>false</vt:lpwstr>
  </property>
  <property fmtid="{D5CDD505-2E9C-101B-9397-08002B2CF9AE}" pid="9" name="KSOProductBuildVer">
    <vt:lpwstr>1033-12.2.0.18165</vt:lpwstr>
  </property>
  <property fmtid="{D5CDD505-2E9C-101B-9397-08002B2CF9AE}" pid="10" name="ICV">
    <vt:lpwstr>883A4B812EC948CCAFCB4EDAC5F7484C_12</vt:lpwstr>
  </property>
</Properties>
</file>