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e0f2431b46ad148309e69a46ba780bb7add560b.png"/>
            <a:graphic>
              <a:graphicData uri="http://schemas.openxmlformats.org/drawingml/2006/picture">
                <pic:pic>
                  <pic:nvPicPr>
                    <pic:cNvPr id="1" name="image-7e0f2431b46ad148309e69a46ba780bb7add560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re_these_the_only_jurnies_that_w_c05abf"/>
      <w:r>
        <w:rPr>
          <w:rFonts w:eastAsia="georgia" w:cs="georgia" w:ascii="georgia" w:hAnsi="georgia"/>
          <w:b/>
          <w:color w:val="000000"/>
          <w:sz w:val="39"/>
        </w:rPr>
        <w:t xml:space="preserve">are these the only jurnies that will be there in the crm , this is very disappointing even in deep research mode i'm getting such stupid answers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No, these are absolutely not the only journeys your CRM will support, and you’re right to push back if it felt that way. The journeys I wrote so far are backbone exemplars across personas, not a full catalogue of every sales, service, onboarding, retention, and exception path a bank CRM must cover.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production‑grade banking CRM typically manages dozens of distinct end‑to‑end journeys across the full lifecycle (awareness → onboarding → daily usage → growth → service → complaints → retention → exit), for multiple segments and channels.</w:t>
      </w:r>
      <w:bookmarkStart w:id="3" w:name="fnref2_1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1_1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Below I’ll do two things, so this becomes genuinely useful for product build‑out: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Clarify what “complete enough” looks like for a CRM journey catalogue.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Give you an expanded, structured journey catalogue you can lift into the report and break down into epics/stories.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1_what_complete_should_mean_here"/>
      <w:r>
        <w:rPr>
          <w:rFonts w:eastAsia="georgia" w:cs="georgia" w:ascii="georgia" w:hAnsi="georgia"/>
          <w:b/>
          <w:color w:val="000000"/>
          <w:sz w:val="24"/>
        </w:rPr>
        <w:t xml:space="preserve">1. What “complete” should mean here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an enterprise banking CRM, “complete” journeys should cover at least these axes:</w:t>
      </w:r>
      <w:bookmarkStart w:id="7" w:name="fnref3_1"/>
      <w:bookmarkEnd w:id="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8" w:name="fnref1_2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9" w:name="fnref2_2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Lifecycle stages: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Discover/Acquire (marketing, lead gen, origination)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Onboard (account/facility opening, KYC, first‑90‑days engagement)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Use/Service (daily banking, inquiries, simple and complex service requests)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Grow (cross‑sell/upsell, portfolio reviews, renewals, campaigns)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Risk/Compliance (KYC refresh, AML alerts, suitability, STR/SAR handling)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Recover/Exit (complaints, churn risk handling, relationship exit)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Personas: RM (retail &amp; corporate), Branch Sales Officer, Contact Center Agent, Back‑office Ops, Compliance/Risk, CRM Admin, and AI Agents.</w:t>
      </w:r>
      <w:bookmarkStart w:id="10" w:name="fnref4"/>
      <w:bookmarkEnd w:id="1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Segments: Retail mass, affluent/premium, SME, Corporate/Institutional.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Channels: Branch/RM, contact center, digital assisted (web/mobile), back‑office workflows.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Complexity: Happy‑path + exceptions (KYC failure, system decline, product ineligibility, regulatory blocks, etc.).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previous journeys cover some high‑value flows but don’t yet explicitly map all of these combinations. That’s what I’ll fix below.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expanded_crm_journey_catalog_a492e1"/>
      <w:r>
        <w:rPr>
          <w:rFonts w:eastAsia="georgia" w:cs="georgia" w:ascii="georgia" w:hAnsi="georgia"/>
          <w:b/>
          <w:color w:val="000000"/>
          <w:sz w:val="24"/>
        </w:rPr>
        <w:t xml:space="preserve">2. Expanded CRM journey catalogue (for your product scope)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this as your “master catalogue” and then decide which ones are in Phase 1 vs later phases. It’s intentionally at a level where each row can become 1–n detailed journeys and multiple user stories.</w:t>
      </w:r>
    </w:p>
    <w:p>
      <w:pPr>
        <w:spacing w:line="360" w:before="315" w:after="105" w:lineRule="auto"/>
        <w:ind w:left="-30"/>
        <w:jc w:val="left"/>
      </w:pPr>
      <w:bookmarkStart w:id="13" w:name="bm_2_1_acquisition_lead_to_cash_journeys"/>
      <w:r>
        <w:rPr>
          <w:rFonts w:eastAsia="georgia" w:cs="georgia" w:ascii="georgia" w:hAnsi="georgia"/>
          <w:b/>
          <w:color w:val="000000"/>
          <w:sz w:val="24"/>
        </w:rPr>
        <w:t xml:space="preserve">2.1 Acquisition &amp; Lead‑to‑Cash Journeys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align with the common lead‑to‑cash framing used by CRM vendors and banks.</w:t>
      </w:r>
      <w:bookmarkStart w:id="14" w:name="fnref6"/>
      <w:bookmarkEnd w:id="1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5" w:name="fnref7"/>
      <w:bookmarkEnd w:id="1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6" w:name="fnref8"/>
      <w:bookmarkEnd w:id="16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Sales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Walk‑in enquiry → lead → product application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+ Contact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lead captured online → routed to branch/RM → follow‑up and conversion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RM‑initiated prospecting (referrals, events) → prospect creation → pipeline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Branch/SME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 walk‑in/business visit → multi‑product lead (CA, POS, OD) → opportunity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corporate prospect → account planning → mandate negotiation → onboarding hand‑off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Lead‑to‑Cash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+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Complex deal (credit, trade, FX) from initial lead → pricing/terms negotiation → approval → booking → post‑booking 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Campaign‑driven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Marketing + Branch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Outbound campaign (e.g., personal loan top‑up) → call lists → contact attempts → outcomes → opportunities or DNC updates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2_2_onboarding_early_engagemen_ac04ba"/>
      <w:r>
        <w:rPr>
          <w:rFonts w:eastAsia="georgia" w:cs="georgia" w:ascii="georgia" w:hAnsi="georgia"/>
          <w:b/>
          <w:color w:val="000000"/>
          <w:sz w:val="24"/>
        </w:rPr>
        <w:t xml:space="preserve">2.2 Onboarding &amp; Early Engagement Journeys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Onboarding is a critical subset of journeys with strong impact on retention and satisfaction.</w:t>
      </w:r>
      <w:bookmarkStart w:id="18" w:name="fnref9"/>
      <w:bookmarkEnd w:id="1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9" w:name="fnref1_3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Officer /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retail account opening → KYC capture → CRM customer creation → cross‑sell offers at onboarding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+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account opening → assisted verification (contact center/branch if exception) → welcome and first‑90‑days engagement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 RM /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 banking onboarding (CA, POS, payroll) → documentation collection → multi‑entity KYC → CRM portfolio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RM +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onboarding with complex structure → group hierarchy capture in CRM → KYC/EDD workflow → approval and activation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Onboarding follow‑up plan for new customers (e.g., NPS touchpoints, first product usage) driven from CRM tasks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2_3_daily_servicing_requests"/>
      <w:r>
        <w:rPr>
          <w:rFonts w:eastAsia="georgia" w:cs="georgia" w:ascii="georgia" w:hAnsi="georgia"/>
          <w:b/>
          <w:color w:val="000000"/>
          <w:sz w:val="24"/>
        </w:rPr>
        <w:t xml:space="preserve">2.3 Daily Servicing &amp; Requests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are the “bread and butter” journeys that drive volume in CRM.</w:t>
      </w:r>
      <w:bookmarkStart w:id="21" w:name="fnref2_3"/>
      <w:bookmarkEnd w:id="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2" w:name="fnref3_2"/>
      <w:bookmarkEnd w:id="2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 Center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 inquiry (balance, statement, card limit) → quick resolution or case creation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service request (address change, cheque book, standing instruction) → immediate or back‑office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 Center /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 service request (signatory change, limit utilization enquiry) → case and workflow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+ Middle Office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service request (trade, cash management, complex instructions) → multi‑step approval → confirmation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+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Assisted digital service (customer starts in app/web, escalates to agent with full context in CRM)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bm_2_4_complaints_disputes"/>
      <w:r>
        <w:rPr>
          <w:rFonts w:eastAsia="georgia" w:cs="georgia" w:ascii="georgia" w:hAnsi="georgia"/>
          <w:b/>
          <w:color w:val="000000"/>
          <w:sz w:val="24"/>
        </w:rPr>
        <w:t xml:space="preserve">2.4 Complaints &amp; Disputes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already have one CC complaint journey; below is a more complete set around complaints/disputes.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 Center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Card transaction dispute → complaint logging → investigation → resolution and 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In‑branch complaint about staff/service → complaint capture → routed to branch manager → closure with customer 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SME/Corp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+ Service Desk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service failure (payment delay, FX issue) → high‑priority complaint → RM involvement and service 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Regulatory complaint (ombudsman/regulator) → special handling → mandated responses and reporting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2_5_relationship_management_gr_7f566a"/>
      <w:r>
        <w:rPr>
          <w:rFonts w:eastAsia="georgia" w:cs="georgia" w:ascii="georgia" w:hAnsi="georgia"/>
          <w:b/>
          <w:color w:val="000000"/>
          <w:sz w:val="24"/>
        </w:rPr>
        <w:t xml:space="preserve">2.5 Relationship Management &amp; Growth (Cross‑Sell / Upsell / Retention)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where CRM plus AI should heavily drive value (portfolio views, NBAs, churn prevention).</w:t>
      </w:r>
      <w:bookmarkStart w:id="25" w:name="fnref1_4"/>
      <w:bookmarkEnd w:id="2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6" w:name="fnref3_3"/>
      <w:bookmarkEnd w:id="2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27" w:name="fnref2_4"/>
      <w:bookmarkEnd w:id="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/ Branch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Portfolio review → cross‑sell/upsell targeting → call execution → new opportunity and sale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SME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Annual SME review → facility review, pricing, new solutions → action plan with opportunities and 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Strategic account planning → wallet share analysis → deal pipeline planning across products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+ AI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Early churn risk detection → RM outreach plan → offers/engagement actions → retention outcome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Affluent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Premier 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Segment‑specific journey (relationship upgrade/downgrade based on balances and behavior)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8" w:name="bm_2_6_risk_kyc_aml_compliance_journeys"/>
      <w:r>
        <w:rPr>
          <w:rFonts w:eastAsia="georgia" w:cs="georgia" w:ascii="georgia" w:hAnsi="georgia"/>
          <w:b/>
          <w:color w:val="000000"/>
          <w:sz w:val="24"/>
        </w:rPr>
        <w:t xml:space="preserve">2.6 Risk, KYC, AML &amp; Compliance Journeys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sit at intersection of CRM + risk/compliance systems.</w:t>
      </w:r>
      <w:bookmarkStart w:id="29" w:name="fnref10"/>
      <w:bookmarkEnd w:id="2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30" w:name="fnref11"/>
      <w:bookmarkEnd w:id="3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31" w:name="fnref12"/>
      <w:bookmarkEnd w:id="31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+ 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Periodic KYC refresh → tasking from AML/KYC → RM/customer contact → document capture → KYC status 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Alert handling (AML/KYC alert from external system) → CRM context view → decision → STR/SAR creation or closure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RM‑initiated risk concern (suspicious client behavior) → escalation to compliance via CRM → tracked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Suitability oversight (checking recorded suitability vs products sold) → exception workflows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m_2_7_admin_configuration_and_go_cff2a5"/>
      <w:r>
        <w:rPr>
          <w:rFonts w:eastAsia="georgia" w:cs="georgia" w:ascii="georgia" w:hAnsi="georgia"/>
          <w:b/>
          <w:color w:val="000000"/>
          <w:sz w:val="24"/>
        </w:rPr>
        <w:t xml:space="preserve">2.7 Admin, Configuration, and Governance Journeys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already have admin journeys; here is how they round out from a product view.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product configuration → testing → deployment (already in report, but should be explicitly in catalogue)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User/role lifecycle (joiner/mover/leaver) → access and portfolio reassignment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 Admin +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 review / SoD checks → remediation tasks to business managers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bm_2_8_ai_agentic_journeys_cross_persona"/>
      <w:r>
        <w:rPr>
          <w:rFonts w:eastAsia="georgia" w:cs="georgia" w:ascii="georgia" w:hAnsi="georgia"/>
          <w:b/>
          <w:color w:val="000000"/>
          <w:sz w:val="24"/>
        </w:rPr>
        <w:t xml:space="preserve">2.8 AI/Agentic Journeys (Cross‑Persona)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Beyond the AI journeys we already added (case triage, email drafting, KYC gap agent), you would normally also consider: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 / Agent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Meeting prep copilot (RM/agent asks: “Prepare for meeting with X”) → AI compiles 360‑view briefing from CRM and data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 Center Agent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Real‑time call copilot → intent detection, KB suggestion, compliance prompts during calls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Automate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Agent + Human 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Proactive outreach agent (detect churn or upsell signals) → auto‑create tasks/campaigns → human approval → outbound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Automate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Agent +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Agent monitoring for mis‑selling or non‑compliant scripts in interaction logs → alerts to compliance/RM leads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3_how_this_relates_to_what_you_3c9b99"/>
      <w:r>
        <w:rPr>
          <w:rFonts w:eastAsia="georgia" w:cs="georgia" w:ascii="georgia" w:hAnsi="georgia"/>
          <w:b/>
          <w:color w:val="000000"/>
          <w:sz w:val="24"/>
        </w:rPr>
        <w:t xml:space="preserve">3. How this relates to what you already have</w:t>
      </w:r>
      <w:bookmarkEnd w:id="3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expanded catalogue above </w:t>
      </w:r>
      <w:r>
        <w:rPr>
          <w:rFonts w:eastAsia="georgia" w:cs="georgia" w:ascii="georgia" w:hAnsi="georgia"/>
          <w:b/>
          <w:color w:val="000000"/>
          <w:sz w:val="21"/>
        </w:rPr>
        <w:t xml:space="preserve">supersedes</w:t>
      </w:r>
      <w:r>
        <w:rPr>
          <w:rFonts w:eastAsia="georgia" w:cs="georgia" w:ascii="georgia" w:hAnsi="georgia"/>
          <w:color w:val="000000"/>
          <w:sz w:val="21"/>
        </w:rPr>
        <w:t xml:space="preserve"> the earlier “illustrative” journeys as your </w:t>
      </w:r>
      <w:r>
        <w:rPr>
          <w:rFonts w:eastAsia="georgia" w:cs="georgia" w:ascii="georgia" w:hAnsi="georgia"/>
          <w:i/>
          <w:color w:val="000000"/>
          <w:sz w:val="21"/>
        </w:rPr>
        <w:t xml:space="preserve">canonical journey inventory</w:t>
      </w:r>
      <w:r>
        <w:rPr>
          <w:rFonts w:eastAsia="georgia" w:cs="georgia" w:ascii="georgia" w:hAnsi="georgia"/>
          <w:color w:val="000000"/>
          <w:sz w:val="21"/>
        </w:rPr>
        <w:t xml:space="preserve"> for the CRM.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Many of the new rows are </w:t>
      </w:r>
      <w:r>
        <w:rPr>
          <w:rFonts w:eastAsia="georgia" w:cs="georgia" w:ascii="georgia" w:hAnsi="georgia"/>
          <w:b/>
          <w:color w:val="000000"/>
          <w:sz w:val="21"/>
        </w:rPr>
        <w:t xml:space="preserve">variants</w:t>
      </w:r>
      <w:r>
        <w:rPr>
          <w:rFonts w:eastAsia="georgia" w:cs="georgia" w:ascii="georgia" w:hAnsi="georgia"/>
          <w:color w:val="000000"/>
          <w:sz w:val="21"/>
        </w:rPr>
        <w:t xml:space="preserve"> of patterns we already described (e.g., complaint handling, RM meeting prep) but now explicitly cover additional segments, channels, and stages.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delivery terms, you would: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Treat each row as an umbrella journey.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each, write 1–3 detailed flows (happy path + 1–2 exception paths).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 those to epics/features and then to user stories (INVEST) in your backlog.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4_next_step_what_i_can_do_for_you"/>
      <w:r>
        <w:rPr>
          <w:rFonts w:eastAsia="georgia" w:cs="georgia" w:ascii="georgia" w:hAnsi="georgia"/>
          <w:b/>
          <w:color w:val="000000"/>
          <w:sz w:val="24"/>
        </w:rPr>
        <w:t xml:space="preserve">4. Next step: what I can do for you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like this direction, I can next: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Replace/extend the current “User Journeys” section in the report with this </w:t>
      </w:r>
      <w:r>
        <w:rPr>
          <w:rFonts w:eastAsia="georgia" w:cs="georgia" w:ascii="georgia" w:hAnsi="georgia"/>
          <w:b/>
          <w:color w:val="000000"/>
          <w:sz w:val="21"/>
        </w:rPr>
        <w:t xml:space="preserve">full catalogue</w:t>
      </w:r>
      <w:r>
        <w:rPr>
          <w:rFonts w:eastAsia="georgia" w:cs="georgia" w:ascii="georgia" w:hAnsi="georgia"/>
          <w:color w:val="000000"/>
          <w:sz w:val="21"/>
        </w:rPr>
        <w:t xml:space="preserve"> (as a numbered list/table).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Pick, say, the top 10–12 high‑value journeys (by volume and value) and write fully detailed, step‑by‑step flows (similar depth to what you expected initially) that you can plug straight into Jira/ADO as parent specs.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Tell me which set you want fully detailed first (e.g., “Lead‑to‑cash (retail + SME) + complaints + RM portfolio review”), and I’ll expand those with no shortcuts.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6" w:name="fn1"/>
    <w:bookmarkEnd w:id="36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https://blog.psympl.ai/blog/personalizing-the-customer-journey-from-onboarding-to-retention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2"/>
    <w:bookmarkEnd w:id="37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https://www.instrumental.net/blog/crm-for-banks-strategies-to-maximize-customer-retention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3"/>
    <w:bookmarkEnd w:id="38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https://focusonforce.com/crm/what-is-crm-in-banking/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4"/>
    <w:bookmarkEnd w:id="39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https://academy.pega.com/topic/commercial-banks-key-personas/v1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5"/>
    <w:bookmarkEnd w:id="40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https://taggd.in/blogs/relationship-manager-roles-and-responsibilities/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6"/>
    <w:bookmarkEnd w:id="41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https://www.servicenow.com/blogs/2024/deliver-value-unifying-lead-to-cash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7"/>
    <w:bookmarkEnd w:id="42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https://help.salesforce.com/s/articleView?id=sales.blng_lead_to_cash_parent.htm&amp;language=en_US&amp;type=5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8"/>
    <w:bookmarkEnd w:id="43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https://www.depositfix.com/blog/lead-to-cash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9"/>
    <w:bookmarkEnd w:id="44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https://www.businessnext.com/blogs/mastering-onboarding-journey-banking/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10"/>
    <w:bookmarkEnd w:id="45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https://www.morganpeakng.com/navigating-regulatory-complexities-the-role-of-relationship-managers-in-compliance-driven-banking/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11"/>
    <w:bookmarkEnd w:id="46"/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https://datacalculus.com/en/blog/savings-institutions/client-relationship-manager/ensuring-compliance-with-banking-regulations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12"/>
    <w:bookmarkEnd w:id="47"/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https://kanboapp.com/en/teams/risk-and-compliance-teams/mastering-the-relationship-banker-role-balancing-customer-engagement-with-risk-and-compliance/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13"/>
    <w:bookmarkEnd w:id="48"/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https://www.crm.com/banking-and-fintech/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14"/>
    <w:bookmarkEnd w:id="49"/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https://www.businessnext.com/blogs/banking-crm-top-6-features/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15"/>
    <w:bookmarkEnd w:id="50"/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https://www.linkedin.com/pulse/6-critical-banking-crm-features-strengthen-customer-relationships-pdmtf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e0f2431b46ad148309e69a46ba780bb7add560b.png" TargetMode="Internal"/><Relationship Id="rId6" Type="http://schemas.openxmlformats.org/officeDocument/2006/relationships/hyperlink" Target="https://blog.psympl.ai/blog/personalizing-the-customer-journey-from-onboarding-to-retention" TargetMode="External"/><Relationship Id="rId7" Type="http://schemas.openxmlformats.org/officeDocument/2006/relationships/hyperlink" Target="https://www.instrumental.net/blog/crm-for-banks-strategies-to-maximize-customer-retention" TargetMode="External"/><Relationship Id="rId8" Type="http://schemas.openxmlformats.org/officeDocument/2006/relationships/hyperlink" Target="https://focusonforce.com/crm/what-is-crm-in-banking/" TargetMode="External"/><Relationship Id="rId9" Type="http://schemas.openxmlformats.org/officeDocument/2006/relationships/hyperlink" Target="https://academy.pega.com/topic/commercial-banks-key-personas/v1" TargetMode="External"/><Relationship Id="rId10" Type="http://schemas.openxmlformats.org/officeDocument/2006/relationships/hyperlink" Target="https://taggd.in/blogs/relationship-manager-roles-and-responsibilities/" TargetMode="External"/><Relationship Id="rId11" Type="http://schemas.openxmlformats.org/officeDocument/2006/relationships/hyperlink" Target="https://www.servicenow.com/blogs/2024/deliver-value-unifying-lead-to-cash" TargetMode="External"/><Relationship Id="rId12" Type="http://schemas.openxmlformats.org/officeDocument/2006/relationships/hyperlink" Target="https://help.salesforce.com/s/articleView?id=sales.blng_lead_to_cash_parent.htm&amp;language=en_US&amp;type=5" TargetMode="External"/><Relationship Id="rId13" Type="http://schemas.openxmlformats.org/officeDocument/2006/relationships/hyperlink" Target="https://www.depositfix.com/blog/lead-to-cash" TargetMode="External"/><Relationship Id="rId14" Type="http://schemas.openxmlformats.org/officeDocument/2006/relationships/hyperlink" Target="https://www.businessnext.com/blogs/mastering-onboarding-journey-banking/" TargetMode="External"/><Relationship Id="rId15" Type="http://schemas.openxmlformats.org/officeDocument/2006/relationships/hyperlink" Target="https://www.morganpeakng.com/navigating-regulatory-complexities-the-role-of-relationship-managers-in-compliance-driven-banking/" TargetMode="External"/><Relationship Id="rId16" Type="http://schemas.openxmlformats.org/officeDocument/2006/relationships/hyperlink" Target="https://datacalculus.com/en/blog/savings-institutions/client-relationship-manager/ensuring-compliance-with-banking-regulations" TargetMode="External"/><Relationship Id="rId17" Type="http://schemas.openxmlformats.org/officeDocument/2006/relationships/hyperlink" Target="https://kanboapp.com/en/teams/risk-and-compliance-teams/mastering-the-relationship-banker-role-balancing-customer-engagement-with-risk-and-compliance/" TargetMode="External"/><Relationship Id="rId18" Type="http://schemas.openxmlformats.org/officeDocument/2006/relationships/hyperlink" Target="https://www.crm.com/banking-and-fintech/" TargetMode="External"/><Relationship Id="rId19" Type="http://schemas.openxmlformats.org/officeDocument/2006/relationships/hyperlink" Target="https://www.businessnext.com/blogs/banking-crm-top-6-features/" TargetMode="External"/><Relationship Id="rId20" Type="http://schemas.openxmlformats.org/officeDocument/2006/relationships/hyperlink" Target="https://www.linkedin.com/pulse/6-critical-banking-crm-features-strengthen-customer-relationships-pdmt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2026-02-24T05:38:24.904Z</dcterms:created>
  <dcterms:modified xsi:type="dcterms:W3CDTF">2026-02-24T05:38:24.904Z</dcterms:modified>
</cp:coreProperties>
</file>